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0.xml" ContentType="application/vnd.openxmlformats-officedocument.wordprocessingml.head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a="http://schemas.openxmlformats.org/drawingml/2006/main" xmlns:pic="http://schemas.openxmlformats.org/drawingml/2006/picture" xmlns:w="http://schemas.openxmlformats.org/wordprocessingml/2006/main">
  <w:body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  <w:color w:val="800000"/>
        </w:rPr>
        <w:t xml:space="preserve">BİR SORUNUN DÜŞÜNDÜRDÜKLERİ-2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  <w:color w:val="800000"/>
        </w:rPr>
        <w:t xml:space="preserve">RASİM ZENCİR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  <w:color w:val="0000ff"/>
        </w:rPr>
        <w:t xml:space="preserve">SORU:   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  <w:color w:val="0000ff"/>
        </w:rPr>
        <w:t xml:space="preserve">18 şeker 4 çocuğa, herbirine en fazla 6 şeker vermek koşulu ile kaç farklı şekilde dağıtılabilir?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ÇÖZÜM: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Verilen koşul sorunun çözümünü zorlaştırıyor elbette. Olmasaydı çözüm kolaydı.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Kolay bir çözüm bulmak için soruyu tekrar tekrar okuyunca, çocuklara neden farklı sayıda şeker veriliyor diye isyan edesi geliyor insanın!  :)  Eşit olsaydı her şey hem adaletli hem de kolay olacaktı. Öyle ya, günlük hayatta hiç «şu çocuğa 3 tane, diğerine 5 tane şeker vereyim.» der miyiz? 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Hep eşit sayıda veririz.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Bunda bir iş var!   mmm sanırım anladım.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şekerleri veren çocuklara eşit sayıda vermiştir de, araya bir aracı kurum girmiş heral.  :))) Bazılarını yemiş!  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Acaba kimlerin şekerlerini yemiş?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İşte bütün mesele bu.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özetle,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4 çocuğa 6 şar tane şeker verilirse 24 tane şeker verilecekti ama 18 tane verileceğine göre 6 tane şeker eksik verilecek demektir. bu durumda sorunun çözümü bu 6 şekerin çocuklardan kaç farklı şekilde alınabileceği ile ilgili...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6 şeker 4 çocuğa kaç farklı şekilde paylaştırılabilir ya da alınabilir?  :)))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Şekerleri sıralarız. 4 kişiye paylaştıracaksak 3 yerinden ayırmak yeterli. şekerleri 0 ile, ayırma yerlerini 1 ile gösterirsek 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000000111 ifadesinin tekrarlı permütasyonu ile  bulunabilir.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O da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9! / 6!.3! = 7.8.9 /2.3 =84 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olur.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Dağıtılacak şekerler veya verilmeyen şekerler 6 dan az ise çözüm kolay o zaman.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  <w:color w:val="0000ff"/>
        </w:rPr>
        <w:t xml:space="preserve">Peki soruda 17 şeker dağıtılsaydı çözüm nasıl olurdu?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7 şeker alınmış olacaktı. Bu 7 şeker kimlerden alınabilirdi?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10! /7!. 3! = 120.  Ama kimseden 7 şeker alamayacağımıza göre bu durumları çıkarmamız gerekecek.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4 çocuk olduğu için 4 durum var. bu durumda cevap 120-4=116 olurdu.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  <w:color w:val="0000ff"/>
        </w:rPr>
        <w:t xml:space="preserve">Peki soruda 16 şeker dağıtılsaydı?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(11,3) - 4 - 4.3= 165 - 16 = 149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olurdu. Burada 4, bir kişiden 8 şeker alma durumu,  4.3 de bir kişiden 7 şeker, kalan bir şeker de kalan 3 kişiye dağıtma durumu.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  <w:color w:val="0000ff"/>
        </w:rPr>
        <w:t xml:space="preserve">Son olarak 14 şeker dağıtsaydık?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10 şeker verilmeyecekti. Dağılımı şöyle olacaktı.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Tüm durumlar (13,3),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Bir kişiye 7 şeker verme, kalan 3şekeri 3 kişiye dağıtma  4.(5,2),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Bir kişiye 8 şeker verme, kalan 2 şekeri 3 kişiye dağıtma  4.(4,2),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Bir kişiye 9 şeker verme, kalan 1 şekeri 3 kişiye  4.3,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Bir kişiye 10 şeker verme 4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Tamamı 286 -(40 + 24 +12 +4) =286 -80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=206 olur.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diğer durumlar da benzer şekilde hesaplanabilir.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 </w:t>
      </w: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  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  <w:r>
        <w:rPr>
          <w:lang w:val="tr-TR"/>
          <w:rFonts w:ascii="Times New Roman" w:cs="Times New Roman" w:hAnsi="Times New Roman"/>
          <w:sz w:val="32"/>
        </w:rPr>
        <w:t xml:space="preserve">  </w:t>
      </w:r>
    </w:p>
    <w:p>
      <w:pPr>
        <w:pStyle w:val="Normal"/>
        <w:jc w:val="left"/>
        <w:spacing w:line="240" w:lineRule="auto"/>
      </w:pPr>
    </w:p>
    <w:p>
      <w:pPr>
        <w:pStyle w:val="Normal"/>
        <w:jc w:val="left"/>
        <w:spacing w:line="240" w:lineRule="auto"/>
      </w:pPr>
    </w:p>
    <w:sectPr>
      <w:headerReference w:type="default" r:id="hId0"/>
      <w:headerReference w:type="even" r:id="hId1"/>
      <w:pgSz w:w="11906" w:h="16838" w:orient="portrait"/>
      <w:pgMar w:top="1440" w:left="1440" w:right="1440" w:bottom="1440"/>
      <w:cols w:num="2" w:sep="off" w:equalWidth="1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header0.xml><?xml version="1.0" encoding="utf-8"?>
<w:hdr xmlns:r="http://schemas.openxmlformats.org/officeDocument/2006/relationships" xmlns:w="http://schemas.openxmlformats.org/wordprocessingml/2006/main"/>
</file>

<file path=word/header1.xml><?xml version="1.0" encoding="utf-8"?>
<w:hdr xmlns:r="http://schemas.openxmlformats.org/officeDocument/2006/relationships" xmlns:w="http://schemas.openxmlformats.org/wordprocessingml/2006/main">
  <w:p>
    <w:pPr>
      <w:jc w:val="left"/>
      <w:spacing w:line="240" w:lineRule="auto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style w:styleId="Arrowhead List">
    <w:name w:val="Arrowhead List"/>
    <w:pPr>
      <w:ind w:hanging="431"/>
      <w:ind w:left="720"/>
    </w:pPr>
    <w:rPr/>
  </w:style>
  <w:style w:styleId="Block Text">
    <w:name w:val="Block Text"/>
    <w:basedOn w:val="Normal"/>
    <w:pPr>
      <w:ind w:left="1440"/>
      <w:ind w:right="1440"/>
      <w:spacing w:after="120"/>
    </w:pPr>
    <w:rPr/>
  </w:style>
  <w:style w:styleId="Box List">
    <w:name w:val="Box List"/>
    <w:pPr>
      <w:ind w:hanging="431"/>
      <w:ind w:left="720"/>
    </w:pPr>
    <w:rPr/>
  </w:style>
  <w:style w:styleId="Bullet List">
    <w:name w:val="Bullet List"/>
    <w:pPr>
      <w:ind w:hanging="431"/>
      <w:ind w:left="720"/>
    </w:pPr>
    <w:rPr/>
  </w:style>
  <w:style w:styleId="Chapter Heading">
    <w:name w:val="Chapter Heading"/>
    <w:basedOn w:val="Numbered Heading 1"/>
    <w:next w:val="Normal"/>
    <w:pPr/>
    <w:rPr/>
  </w:style>
  <w:style w:styleId="Contents 1">
    <w:name w:val="Contents 1"/>
    <w:basedOn w:val="Normal"/>
    <w:next w:val="Normal"/>
    <w:pPr>
      <w:ind w:hanging="431"/>
      <w:ind w:left="720"/>
    </w:pPr>
    <w:rPr/>
  </w:style>
  <w:style w:styleId="Contents 2">
    <w:name w:val="Contents 2"/>
    <w:basedOn w:val="Normal"/>
    <w:next w:val="Normal"/>
    <w:pPr>
      <w:ind w:hanging="431"/>
      <w:ind w:left="1440"/>
    </w:pPr>
    <w:rPr/>
  </w:style>
  <w:style w:styleId="Contents 3">
    <w:name w:val="Contents 3"/>
    <w:basedOn w:val="Normal"/>
    <w:next w:val="Normal"/>
    <w:pPr>
      <w:ind w:hanging="431"/>
      <w:ind w:left="2160"/>
    </w:pPr>
    <w:rPr/>
  </w:style>
  <w:style w:styleId="Contents 4">
    <w:name w:val="Contents 4"/>
    <w:basedOn w:val="Normal"/>
    <w:next w:val="Normal"/>
    <w:pPr>
      <w:ind w:hanging="431"/>
      <w:ind w:left="2880"/>
    </w:pPr>
    <w:rPr/>
  </w:style>
  <w:style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Arial" w:cs="Arial" w:hAnsi="Arial"/>
    </w:rPr>
  </w:style>
  <w:style w:styleId="Dashed List">
    <w:name w:val="Dashed List"/>
    <w:pPr>
      <w:ind w:hanging="431"/>
      <w:ind w:left="720"/>
    </w:pPr>
    <w:rPr/>
  </w:style>
  <w:style w:styleId="Diamond List">
    <w:name w:val="Diamond List"/>
    <w:pPr>
      <w:ind w:hanging="431"/>
      <w:ind w:left="720"/>
    </w:pPr>
    <w:rPr/>
  </w:style>
  <w:style w:styleId="Endnote">
    <w:name w:val="Endnote"/>
    <w:basedOn w:val="Normal"/>
    <w:pPr>
      <w:ind w:hanging="288"/>
      <w:ind w:left="288"/>
    </w:pPr>
    <w:rPr/>
  </w:style>
  <w:style w:styleId="Endnote Reference">
    <w:name w:val="Endnote Reference"/>
    <w:pPr/>
    <w:rPr>
      <w:sz w:val="20"/>
      <w:vertAlign w:val="superscript"/>
    </w:rPr>
  </w:style>
  <w:style w:styleId="Endnote Text">
    <w:name w:val="Endnote Text"/>
    <w:basedOn w:val="Normal"/>
    <w:pPr/>
    <w:rPr/>
  </w:style>
  <w:style w:styleId="Footnote">
    <w:name w:val="Footnote"/>
    <w:basedOn w:val="Normal"/>
    <w:pPr>
      <w:ind w:hanging="288"/>
      <w:ind w:left="288"/>
    </w:pPr>
    <w:rPr>
      <w:sz w:val="20"/>
    </w:rPr>
  </w:style>
  <w:style w:styleId="Footnote Reference">
    <w:name w:val="Footnote Reference"/>
    <w:pPr/>
    <w:rPr>
      <w:sz w:val="20"/>
      <w:vertAlign w:val="superscript"/>
    </w:rPr>
  </w:style>
  <w:style w:styleId="Footnote Text">
    <w:name w:val="Footnote Text"/>
    <w:basedOn w:val="Normal"/>
    <w:pPr/>
    <w:rPr>
      <w:sz w:val="20"/>
    </w:rPr>
  </w:style>
  <w:style w:styleId="Hand List">
    <w:name w:val="Hand List"/>
    <w:pPr>
      <w:ind w:hanging="431"/>
      <w:ind w:left="720"/>
    </w:pPr>
    <w:rPr/>
  </w:style>
  <w:style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Arial" w:cs="Arial" w:hAnsi="Arial"/>
    </w:rPr>
  </w:style>
  <w:style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Arial" w:cs="Arial" w:hAnsi="Arial"/>
    </w:rPr>
  </w:style>
  <w:style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Arial" w:cs="Arial" w:hAnsi="Arial"/>
    </w:rPr>
  </w:style>
  <w:style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Arial" w:cs="Arial" w:hAnsi="Arial"/>
    </w:rPr>
  </w:style>
  <w:style w:styleId="Heart List">
    <w:name w:val="Heart List"/>
    <w:pPr>
      <w:ind w:hanging="431"/>
      <w:ind w:left="720"/>
    </w:pPr>
    <w:rPr/>
  </w:style>
  <w:style w:styleId="Implies List">
    <w:name w:val="Implies List"/>
    <w:pPr>
      <w:ind w:hanging="431"/>
      <w:ind w:left="720"/>
    </w:pPr>
    <w:rPr/>
  </w:style>
  <w:style w:styleId="Lower Case List">
    <w:name w:val="Lower Case List"/>
    <w:basedOn w:val="Numbered List"/>
    <w:pPr>
      <w:ind w:hanging="431"/>
      <w:ind w:left="720"/>
    </w:pPr>
    <w:rPr/>
  </w:style>
  <w:style w:styleId="Lower Roman List">
    <w:name w:val="Lower Roman List"/>
    <w:basedOn w:val="Normal"/>
    <w:pPr>
      <w:ind w:hanging="431"/>
      <w:ind w:left="720"/>
    </w:pPr>
    <w:rPr/>
  </w:style>
  <w:style w:styleId="Normal">
    <w:name w:val="Normal"/>
    <w:pPr>
      <w:widowControl w:val="on"/>
      <w:jc w:val="left"/>
      <w:spacing w:line="240" w:lineRule="auto"/>
    </w:pPr>
    <w:rPr>
      <w:sz w:val="24"/>
      <w:rFonts w:ascii="Times New Roman" w:cs="Times New Roman" w:hAnsi="Times New Roman"/>
      <w:color w:val="000000"/>
      <w:shd w:fill="ffffff"/>
    </w:rPr>
  </w:style>
  <w:style w:styleId="Numbered Heading 1">
    <w:name w:val="Numbered Heading 1"/>
    <w:basedOn w:val="Heading 1"/>
    <w:next w:val="Normal"/>
    <w:pPr/>
    <w:rPr/>
  </w:style>
  <w:style w:styleId="Numbered Heading 2">
    <w:name w:val="Numbered Heading 2"/>
    <w:basedOn w:val="Heading 2"/>
    <w:next w:val="Normal"/>
    <w:pPr/>
    <w:rPr/>
  </w:style>
  <w:style w:styleId="Numbered Heading 3">
    <w:name w:val="Numbered Heading 3"/>
    <w:basedOn w:val="Heading 3"/>
    <w:next w:val="Normal"/>
    <w:pPr/>
    <w:rPr/>
  </w:style>
  <w:style w:styleId="Numbered List">
    <w:name w:val="Numbered List"/>
    <w:pPr>
      <w:ind w:hanging="431"/>
      <w:ind w:left="720"/>
    </w:pPr>
    <w:rPr/>
  </w:style>
  <w:style w:styleId="Plain Text">
    <w:name w:val="Plain Text"/>
    <w:basedOn w:val="Normal"/>
    <w:pPr/>
    <w:rPr>
      <w:rFonts w:ascii="Courier New" w:cs="Courier New" w:hAnsi="Courier New"/>
    </w:rPr>
  </w:style>
  <w:style w:styleId="Section Heading">
    <w:name w:val="Section Heading"/>
    <w:basedOn w:val="Numbered Heading 1"/>
    <w:next w:val="Normal"/>
    <w:pPr/>
    <w:rPr/>
  </w:style>
  <w:style w:styleId="Square List">
    <w:name w:val="Square List"/>
    <w:pPr>
      <w:ind w:hanging="431"/>
      <w:ind w:left="720"/>
    </w:pPr>
    <w:rPr/>
  </w:style>
  <w:style w:styleId="Star List">
    <w:name w:val="Star List"/>
    <w:pPr>
      <w:ind w:hanging="431"/>
      <w:ind w:left="720"/>
    </w:pPr>
    <w:rPr/>
  </w:style>
  <w:style w:styleId="Tick List">
    <w:name w:val="Tick List"/>
    <w:pPr>
      <w:ind w:hanging="431"/>
      <w:ind w:left="720"/>
    </w:pPr>
    <w:rPr/>
  </w:style>
  <w:style w:styleId="Triangle List">
    <w:name w:val="Triangle List"/>
    <w:pPr>
      <w:ind w:hanging="431"/>
      <w:ind w:left="720"/>
    </w:pPr>
    <w:rPr/>
  </w:style>
  <w:style w:styleId="Upper Case List">
    <w:name w:val="Upper Case List"/>
    <w:basedOn w:val="Numbered List"/>
    <w:pPr>
      <w:ind w:hanging="431"/>
      <w:ind w:left="720"/>
    </w:pPr>
    <w:rPr/>
  </w:style>
  <w:style w:styleId="Upper Roman List">
    <w:name w:val="Upper Roman List"/>
    <w:basedOn w:val="Numbered List"/>
    <w:pPr>
      <w:ind w:hanging="431"/>
      <w:ind w:left="720"/>
    </w:pPr>
    <w:rPr/>
  </w:style>
  <w:docDefaults>
    <w:pPrDefault>
      <w:pPr>
        <w:pStyle w:val="Normal"/>
      </w:pPr>
    </w:pPrDefault>
    <w:rPrDefault>
      <w:rPr>
        <w:rStyle w:val="Normal"/>
      </w:rPr>
    </w:rPrDefault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hId0" Type="http://schemas.openxmlformats.org/officeDocument/2006/relationships/header" Target="header0.xml"/><Relationship Id="hId1" Type="http://schemas.openxmlformats.org/officeDocument/2006/relationships/header" Target="header1.xml"/></Relationships>
</file>