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32" w:type="dxa"/>
        <w:jc w:val="center"/>
        <w:tblInd w:w="-1035" w:type="dxa"/>
        <w:tblLook w:val="0000"/>
      </w:tblPr>
      <w:tblGrid>
        <w:gridCol w:w="5625"/>
        <w:gridCol w:w="4707"/>
      </w:tblGrid>
      <w:tr w:rsidR="00165FB9" w:rsidTr="001C4FCD">
        <w:tblPrEx>
          <w:tblCellMar>
            <w:top w:w="0" w:type="dxa"/>
            <w:bottom w:w="0" w:type="dxa"/>
          </w:tblCellMar>
        </w:tblPrEx>
        <w:trPr>
          <w:trHeight w:val="1493"/>
          <w:jc w:val="center"/>
        </w:trPr>
        <w:tc>
          <w:tcPr>
            <w:tcW w:w="5625" w:type="dxa"/>
          </w:tcPr>
          <w:p w:rsidR="00165FB9" w:rsidRDefault="00165FB9" w:rsidP="001C4FCD">
            <w:pPr>
              <w:pStyle w:val="0X0"/>
              <w:spacing w:after="0" w:line="240" w:lineRule="auto"/>
              <w:ind w:left="0"/>
              <w:jc w:val="center"/>
            </w:pPr>
            <w:r>
              <w:rPr>
                <w:rFonts w:ascii="Bookman" w:hAnsi="Bookman"/>
                <w:b/>
                <w:bCs/>
              </w:rPr>
              <w:t>R.K. JAIN</w:t>
            </w:r>
            <w:r>
              <w:t xml:space="preserve"> </w:t>
            </w:r>
            <w:r>
              <w:rPr>
                <w:i/>
                <w:iCs/>
                <w:sz w:val="20"/>
                <w:szCs w:val="20"/>
              </w:rPr>
              <w:t>M.Com., LL.B.</w:t>
            </w:r>
          </w:p>
          <w:p w:rsidR="00165FB9" w:rsidRDefault="00165FB9" w:rsidP="001C4FCD">
            <w:pPr>
              <w:pStyle w:val="BODY-8PT"/>
              <w:spacing w:after="0" w:line="240" w:lineRule="auto"/>
              <w:jc w:val="center"/>
            </w:pPr>
            <w:r>
              <w:rPr>
                <w:rFonts w:ascii="Bookman" w:hAnsi="Bookman"/>
                <w:b/>
                <w:bCs/>
              </w:rPr>
              <w:t>President, Excise and Customs Bar Association</w:t>
            </w:r>
          </w:p>
          <w:p w:rsidR="00165FB9" w:rsidRDefault="00165FB9" w:rsidP="001C4FCD">
            <w:pPr>
              <w:pStyle w:val="BODY-8PT"/>
              <w:spacing w:before="40" w:after="0" w:line="220" w:lineRule="exact"/>
              <w:jc w:val="center"/>
            </w:pPr>
            <w:r>
              <w:rPr>
                <w:rFonts w:ascii="Bookman" w:hAnsi="Bookman"/>
                <w:i/>
                <w:iCs/>
              </w:rPr>
              <w:t>Editor of</w:t>
            </w:r>
          </w:p>
          <w:p w:rsidR="00165FB9" w:rsidRPr="00F1781F" w:rsidRDefault="00165FB9" w:rsidP="001C4FCD">
            <w:pPr>
              <w:pStyle w:val="0x2"/>
              <w:spacing w:after="0" w:line="240" w:lineRule="auto"/>
              <w:ind w:right="0"/>
              <w:jc w:val="center"/>
              <w:rPr>
                <w:rFonts w:ascii="Tahoma" w:hAnsi="Tahoma" w:cs="Tahoma"/>
                <w:sz w:val="20"/>
                <w:szCs w:val="20"/>
              </w:rPr>
            </w:pPr>
            <w:r w:rsidRPr="00F1781F">
              <w:rPr>
                <w:rFonts w:ascii="Tahoma" w:hAnsi="Tahoma" w:cs="Tahoma"/>
                <w:b/>
                <w:bCs/>
                <w:sz w:val="20"/>
                <w:szCs w:val="20"/>
              </w:rPr>
              <w:t xml:space="preserve">EXCISE LAW TIMES &amp; </w:t>
            </w:r>
            <w:r w:rsidRPr="001B6154">
              <w:rPr>
                <w:rFonts w:ascii="Tahoma" w:hAnsi="Tahoma" w:cs="Tahoma"/>
                <w:b/>
                <w:bCs/>
                <w:sz w:val="20"/>
                <w:szCs w:val="20"/>
              </w:rPr>
              <w:t>SERVICE</w:t>
            </w:r>
            <w:r w:rsidRPr="00F1781F">
              <w:rPr>
                <w:rFonts w:ascii="Tahoma" w:hAnsi="Tahoma" w:cs="Tahoma"/>
                <w:b/>
                <w:bCs/>
                <w:sz w:val="20"/>
                <w:szCs w:val="20"/>
              </w:rPr>
              <w:t xml:space="preserve"> TAX REVIEW</w:t>
            </w:r>
          </w:p>
          <w:p w:rsidR="00165FB9" w:rsidRPr="00A35680" w:rsidRDefault="00165FB9" w:rsidP="001C4FCD">
            <w:pPr>
              <w:pStyle w:val="BodyText3"/>
              <w:spacing w:before="40" w:line="220" w:lineRule="exact"/>
              <w:jc w:val="center"/>
              <w:rPr>
                <w:sz w:val="18"/>
                <w:szCs w:val="18"/>
              </w:rPr>
            </w:pPr>
            <w:r w:rsidRPr="00A35680">
              <w:rPr>
                <w:rFonts w:ascii="Bookman" w:hAnsi="Bookman"/>
                <w:i/>
                <w:iCs/>
                <w:sz w:val="18"/>
                <w:szCs w:val="18"/>
              </w:rPr>
              <w:t>and author of</w:t>
            </w:r>
          </w:p>
        </w:tc>
        <w:tc>
          <w:tcPr>
            <w:tcW w:w="4707" w:type="dxa"/>
            <w:vMerge w:val="restart"/>
            <w:vAlign w:val="bottom"/>
          </w:tcPr>
          <w:p w:rsidR="00165FB9" w:rsidRDefault="00165FB9" w:rsidP="001C4FCD">
            <w:pPr>
              <w:jc w:val="right"/>
            </w:pPr>
          </w:p>
          <w:p w:rsidR="00165FB9" w:rsidRPr="00344AA1" w:rsidRDefault="00165FB9" w:rsidP="001C4FCD">
            <w:pPr>
              <w:jc w:val="right"/>
              <w:rPr>
                <w:sz w:val="18"/>
              </w:rPr>
            </w:pPr>
          </w:p>
          <w:p w:rsidR="00165FB9" w:rsidRPr="00FE0CA1" w:rsidRDefault="00165FB9" w:rsidP="001C4FCD">
            <w:pPr>
              <w:jc w:val="right"/>
              <w:rPr>
                <w:sz w:val="22"/>
              </w:rPr>
            </w:pPr>
          </w:p>
          <w:p w:rsidR="00165FB9" w:rsidRPr="00110FFB" w:rsidRDefault="00165FB9" w:rsidP="001C4FCD">
            <w:pPr>
              <w:jc w:val="right"/>
              <w:rPr>
                <w:sz w:val="8"/>
              </w:rPr>
            </w:pPr>
          </w:p>
          <w:p w:rsidR="00165FB9" w:rsidRDefault="00165FB9" w:rsidP="001C4FCD">
            <w:pPr>
              <w:jc w:val="right"/>
            </w:pPr>
          </w:p>
          <w:p w:rsidR="00165FB9" w:rsidRDefault="00165FB9" w:rsidP="001C4FCD">
            <w:pPr>
              <w:jc w:val="right"/>
            </w:pPr>
          </w:p>
          <w:p w:rsidR="00165FB9" w:rsidRDefault="00165FB9" w:rsidP="001C4FCD">
            <w:pPr>
              <w:jc w:val="right"/>
            </w:pPr>
          </w:p>
          <w:p w:rsidR="00165FB9" w:rsidRPr="001330F5" w:rsidRDefault="00165FB9" w:rsidP="001C4FCD">
            <w:pPr>
              <w:pStyle w:val="I-PA-NM"/>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0" w:line="286" w:lineRule="exact"/>
              <w:rPr>
                <w:b/>
              </w:rPr>
            </w:pPr>
            <w:r w:rsidRPr="001330F5">
              <w:rPr>
                <w:rFonts w:ascii="Bookman" w:hAnsi="Bookman"/>
                <w:b/>
              </w:rPr>
              <w:t>1512-B, Bhishm Pitamah Marg,</w:t>
            </w:r>
          </w:p>
          <w:p w:rsidR="00165FB9" w:rsidRPr="001330F5" w:rsidRDefault="00165FB9" w:rsidP="001C4FCD">
            <w:pPr>
              <w:pStyle w:val="I-PA-NM"/>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0" w:line="286" w:lineRule="exact"/>
              <w:rPr>
                <w:b/>
              </w:rPr>
            </w:pPr>
            <w:r w:rsidRPr="001330F5">
              <w:rPr>
                <w:rFonts w:ascii="Bookman" w:hAnsi="Bookman"/>
                <w:b/>
              </w:rPr>
              <w:t>Wazir Nagar,</w:t>
            </w:r>
          </w:p>
          <w:p w:rsidR="00165FB9" w:rsidRPr="00506C2E" w:rsidRDefault="00165FB9" w:rsidP="001C4FCD">
            <w:pPr>
              <w:spacing w:line="286" w:lineRule="exact"/>
              <w:jc w:val="right"/>
              <w:rPr>
                <w:b/>
                <w:sz w:val="20"/>
              </w:rPr>
            </w:pPr>
            <w:smartTag w:uri="urn:schemas-microsoft-com:office:smarttags" w:element="place">
              <w:smartTag w:uri="urn:schemas-microsoft-com:office:smarttags" w:element="City">
                <w:r w:rsidRPr="00506C2E">
                  <w:rPr>
                    <w:b/>
                    <w:bCs/>
                    <w:sz w:val="20"/>
                  </w:rPr>
                  <w:t>NEW  DELHI</w:t>
                </w:r>
              </w:smartTag>
            </w:smartTag>
            <w:r w:rsidRPr="00506C2E">
              <w:rPr>
                <w:b/>
                <w:bCs/>
                <w:sz w:val="20"/>
              </w:rPr>
              <w:t xml:space="preserve"> - 110 003.</w:t>
            </w:r>
          </w:p>
          <w:p w:rsidR="00165FB9" w:rsidRPr="00506C2E" w:rsidRDefault="00165FB9" w:rsidP="001C4FCD">
            <w:pPr>
              <w:spacing w:line="286" w:lineRule="exact"/>
              <w:jc w:val="right"/>
              <w:rPr>
                <w:b/>
                <w:sz w:val="20"/>
              </w:rPr>
            </w:pPr>
            <w:r w:rsidRPr="00506C2E">
              <w:rPr>
                <w:b/>
                <w:sz w:val="20"/>
              </w:rPr>
              <w:t>PHONE : 24693001-3004</w:t>
            </w:r>
          </w:p>
          <w:p w:rsidR="00165FB9" w:rsidRPr="00506C2E" w:rsidRDefault="00165FB9" w:rsidP="001C4FCD">
            <w:pPr>
              <w:spacing w:line="286" w:lineRule="exact"/>
              <w:jc w:val="right"/>
              <w:rPr>
                <w:b/>
                <w:sz w:val="20"/>
              </w:rPr>
            </w:pPr>
            <w:smartTag w:uri="urn:schemas-microsoft-com:office:smarttags" w:element="place">
              <w:smartTag w:uri="urn:schemas-microsoft-com:office:smarttags" w:element="City">
                <w:r w:rsidRPr="00506C2E">
                  <w:rPr>
                    <w:b/>
                    <w:sz w:val="20"/>
                  </w:rPr>
                  <w:t>MOBILE</w:t>
                </w:r>
              </w:smartTag>
            </w:smartTag>
            <w:r w:rsidRPr="00506C2E">
              <w:rPr>
                <w:b/>
                <w:sz w:val="20"/>
              </w:rPr>
              <w:t xml:space="preserve"> : 9810077977</w:t>
            </w:r>
          </w:p>
          <w:p w:rsidR="00165FB9" w:rsidRDefault="00165FB9" w:rsidP="001C4FCD">
            <w:pPr>
              <w:spacing w:line="280" w:lineRule="exact"/>
              <w:jc w:val="right"/>
            </w:pPr>
            <w:r w:rsidRPr="00506C2E">
              <w:rPr>
                <w:b/>
                <w:sz w:val="20"/>
              </w:rPr>
              <w:t>Fax No. 011-24635243</w:t>
            </w:r>
          </w:p>
        </w:tc>
      </w:tr>
      <w:tr w:rsidR="00165FB9" w:rsidTr="001C4FCD">
        <w:tblPrEx>
          <w:tblCellMar>
            <w:top w:w="0" w:type="dxa"/>
            <w:bottom w:w="0" w:type="dxa"/>
          </w:tblCellMar>
        </w:tblPrEx>
        <w:trPr>
          <w:trHeight w:val="1809"/>
          <w:jc w:val="center"/>
        </w:trPr>
        <w:tc>
          <w:tcPr>
            <w:tcW w:w="5625" w:type="dxa"/>
            <w:vAlign w:val="bottom"/>
          </w:tcPr>
          <w:p w:rsidR="00165FB9" w:rsidRDefault="00165FB9" w:rsidP="001C4FCD">
            <w:pPr>
              <w:adjustRightInd w:val="0"/>
              <w:spacing w:line="220" w:lineRule="exact"/>
              <w:jc w:val="distribute"/>
              <w:rPr>
                <w:rFonts w:ascii="Bookman Old Style" w:hAnsi="Bookman Old Style" w:cs="Arial"/>
                <w:sz w:val="16"/>
                <w:szCs w:val="16"/>
              </w:rPr>
            </w:pPr>
            <w:r w:rsidRPr="006943F0">
              <w:rPr>
                <w:rFonts w:ascii="Bookman Old Style" w:hAnsi="Bookman Old Style" w:cs="Arial"/>
                <w:sz w:val="16"/>
                <w:szCs w:val="16"/>
              </w:rPr>
              <w:t>Central</w:t>
            </w:r>
            <w:r>
              <w:rPr>
                <w:rFonts w:ascii="Bookman Old Style" w:hAnsi="Bookman Old Style" w:cs="Arial"/>
                <w:sz w:val="16"/>
                <w:szCs w:val="16"/>
              </w:rPr>
              <w:t xml:space="preserve">  </w:t>
            </w:r>
            <w:r w:rsidRPr="006943F0">
              <w:rPr>
                <w:rFonts w:ascii="Bookman Old Style" w:hAnsi="Bookman Old Style" w:cs="Arial"/>
                <w:sz w:val="16"/>
                <w:szCs w:val="16"/>
              </w:rPr>
              <w:t>Excise</w:t>
            </w:r>
            <w:r>
              <w:rPr>
                <w:rFonts w:ascii="Bookman Old Style" w:hAnsi="Bookman Old Style" w:cs="Arial"/>
                <w:sz w:val="16"/>
                <w:szCs w:val="16"/>
              </w:rPr>
              <w:t xml:space="preserve">   </w:t>
            </w:r>
            <w:r w:rsidRPr="006943F0">
              <w:rPr>
                <w:rFonts w:ascii="Bookman Old Style" w:hAnsi="Bookman Old Style" w:cs="Arial"/>
                <w:sz w:val="16"/>
                <w:szCs w:val="16"/>
              </w:rPr>
              <w:t>Law</w:t>
            </w:r>
            <w:r>
              <w:rPr>
                <w:rFonts w:ascii="Bookman Old Style" w:hAnsi="Bookman Old Style" w:cs="Arial"/>
                <w:sz w:val="16"/>
                <w:szCs w:val="16"/>
              </w:rPr>
              <w:t xml:space="preserve">   </w:t>
            </w:r>
            <w:r w:rsidRPr="006943F0">
              <w:rPr>
                <w:rFonts w:ascii="Bookman Old Style" w:hAnsi="Bookman Old Style" w:cs="Arial"/>
                <w:sz w:val="16"/>
                <w:szCs w:val="16"/>
              </w:rPr>
              <w:t>Guide;</w:t>
            </w:r>
            <w:r>
              <w:rPr>
                <w:rFonts w:ascii="Bookman Old Style" w:hAnsi="Bookman Old Style" w:cs="Arial"/>
                <w:sz w:val="16"/>
                <w:szCs w:val="16"/>
              </w:rPr>
              <w:t xml:space="preserve">   </w:t>
            </w:r>
            <w:r w:rsidRPr="006943F0">
              <w:rPr>
                <w:rFonts w:ascii="Bookman Old Style" w:hAnsi="Bookman Old Style" w:cs="Arial"/>
                <w:sz w:val="16"/>
                <w:szCs w:val="16"/>
              </w:rPr>
              <w:t>Central</w:t>
            </w:r>
            <w:r>
              <w:rPr>
                <w:rFonts w:ascii="Bookman Old Style" w:hAnsi="Bookman Old Style" w:cs="Arial"/>
                <w:sz w:val="16"/>
                <w:szCs w:val="16"/>
              </w:rPr>
              <w:t xml:space="preserve">   </w:t>
            </w:r>
            <w:r w:rsidRPr="006943F0">
              <w:rPr>
                <w:rFonts w:ascii="Bookman Old Style" w:hAnsi="Bookman Old Style" w:cs="Arial"/>
                <w:sz w:val="16"/>
                <w:szCs w:val="16"/>
              </w:rPr>
              <w:t>Excise</w:t>
            </w:r>
            <w:r>
              <w:rPr>
                <w:rFonts w:ascii="Bookman Old Style" w:hAnsi="Bookman Old Style" w:cs="Arial"/>
                <w:sz w:val="16"/>
                <w:szCs w:val="16"/>
              </w:rPr>
              <w:t xml:space="preserve">   </w:t>
            </w:r>
            <w:r w:rsidRPr="006943F0">
              <w:rPr>
                <w:rFonts w:ascii="Bookman Old Style" w:hAnsi="Bookman Old Style" w:cs="Arial"/>
                <w:sz w:val="16"/>
                <w:szCs w:val="16"/>
              </w:rPr>
              <w:t>Tariff</w:t>
            </w:r>
            <w:r>
              <w:rPr>
                <w:rFonts w:ascii="Bookman Old Style" w:hAnsi="Bookman Old Style" w:cs="Arial"/>
                <w:sz w:val="16"/>
                <w:szCs w:val="16"/>
              </w:rPr>
              <w:t xml:space="preserve">   </w:t>
            </w:r>
            <w:r w:rsidRPr="006943F0">
              <w:rPr>
                <w:rFonts w:ascii="Bookman Old Style" w:hAnsi="Bookman Old Style" w:cs="Arial"/>
                <w:sz w:val="16"/>
                <w:szCs w:val="16"/>
              </w:rPr>
              <w:t>of</w:t>
            </w:r>
            <w:r>
              <w:rPr>
                <w:rFonts w:ascii="Bookman Old Style" w:hAnsi="Bookman Old Style" w:cs="Arial"/>
                <w:sz w:val="16"/>
                <w:szCs w:val="16"/>
              </w:rPr>
              <w:t xml:space="preserve">  </w:t>
            </w:r>
            <w:smartTag w:uri="urn:schemas-microsoft-com:office:smarttags" w:element="place">
              <w:smartTag w:uri="urn:schemas-microsoft-com:office:smarttags" w:element="country-region">
                <w:r w:rsidRPr="006943F0">
                  <w:rPr>
                    <w:rFonts w:ascii="Bookman Old Style" w:hAnsi="Bookman Old Style" w:cs="Arial"/>
                    <w:sz w:val="16"/>
                    <w:szCs w:val="16"/>
                  </w:rPr>
                  <w:t>India</w:t>
                </w:r>
              </w:smartTag>
            </w:smartTag>
            <w:r w:rsidRPr="006943F0">
              <w:rPr>
                <w:rFonts w:ascii="Bookman Old Style" w:hAnsi="Bookman Old Style" w:cs="Arial"/>
                <w:sz w:val="16"/>
                <w:szCs w:val="16"/>
              </w:rPr>
              <w:t>;</w:t>
            </w:r>
          </w:p>
          <w:p w:rsidR="00165FB9" w:rsidRDefault="00165FB9" w:rsidP="001C4FCD">
            <w:pPr>
              <w:adjustRightInd w:val="0"/>
              <w:spacing w:line="220" w:lineRule="exact"/>
              <w:ind w:left="144" w:right="144"/>
              <w:jc w:val="distribute"/>
              <w:rPr>
                <w:rFonts w:ascii="Bookman Old Style" w:hAnsi="Bookman Old Style" w:cs="Arial"/>
                <w:sz w:val="16"/>
                <w:szCs w:val="16"/>
              </w:rPr>
            </w:pPr>
            <w:r w:rsidRPr="006943F0">
              <w:rPr>
                <w:rFonts w:ascii="Bookman Old Style" w:hAnsi="Bookman Old Style" w:cs="Arial"/>
                <w:sz w:val="16"/>
                <w:szCs w:val="16"/>
              </w:rPr>
              <w:t>Central</w:t>
            </w:r>
            <w:r>
              <w:rPr>
                <w:rFonts w:ascii="Bookman Old Style" w:hAnsi="Bookman Old Style" w:cs="Arial"/>
                <w:sz w:val="16"/>
                <w:szCs w:val="16"/>
              </w:rPr>
              <w:t xml:space="preserve">   </w:t>
            </w:r>
            <w:r w:rsidRPr="006943F0">
              <w:rPr>
                <w:rFonts w:ascii="Bookman Old Style" w:hAnsi="Bookman Old Style" w:cs="Arial"/>
                <w:sz w:val="16"/>
                <w:szCs w:val="16"/>
              </w:rPr>
              <w:t>Excise</w:t>
            </w:r>
            <w:r>
              <w:rPr>
                <w:rFonts w:ascii="Bookman Old Style" w:hAnsi="Bookman Old Style" w:cs="Arial"/>
                <w:sz w:val="16"/>
                <w:szCs w:val="16"/>
              </w:rPr>
              <w:t xml:space="preserve">   </w:t>
            </w:r>
            <w:r w:rsidRPr="006943F0">
              <w:rPr>
                <w:rFonts w:ascii="Bookman Old Style" w:hAnsi="Bookman Old Style" w:cs="Arial"/>
                <w:sz w:val="16"/>
                <w:szCs w:val="16"/>
              </w:rPr>
              <w:t>Law</w:t>
            </w:r>
            <w:r>
              <w:rPr>
                <w:rFonts w:ascii="Bookman Old Style" w:hAnsi="Bookman Old Style" w:cs="Arial"/>
                <w:sz w:val="16"/>
                <w:szCs w:val="16"/>
              </w:rPr>
              <w:t xml:space="preserve">  </w:t>
            </w:r>
            <w:r w:rsidRPr="006943F0">
              <w:rPr>
                <w:rFonts w:ascii="Bookman Old Style" w:hAnsi="Bookman Old Style" w:cs="Arial"/>
                <w:sz w:val="16"/>
                <w:szCs w:val="16"/>
              </w:rPr>
              <w:t>Manual;</w:t>
            </w:r>
            <w:r>
              <w:rPr>
                <w:rFonts w:ascii="Bookman Old Style" w:hAnsi="Bookman Old Style" w:cs="Arial"/>
                <w:sz w:val="16"/>
                <w:szCs w:val="16"/>
              </w:rPr>
              <w:t xml:space="preserve">   </w:t>
            </w:r>
            <w:r w:rsidRPr="006943F0">
              <w:rPr>
                <w:rFonts w:ascii="Bookman Old Style" w:hAnsi="Bookman Old Style" w:cs="Arial"/>
                <w:sz w:val="16"/>
                <w:szCs w:val="16"/>
              </w:rPr>
              <w:t>Customs</w:t>
            </w:r>
            <w:r>
              <w:rPr>
                <w:rFonts w:ascii="Bookman Old Style" w:hAnsi="Bookman Old Style" w:cs="Arial"/>
                <w:sz w:val="16"/>
                <w:szCs w:val="16"/>
              </w:rPr>
              <w:t xml:space="preserve">   </w:t>
            </w:r>
            <w:r w:rsidRPr="006943F0">
              <w:rPr>
                <w:rFonts w:ascii="Bookman Old Style" w:hAnsi="Bookman Old Style" w:cs="Arial"/>
                <w:sz w:val="16"/>
                <w:szCs w:val="16"/>
              </w:rPr>
              <w:t>Tariff</w:t>
            </w:r>
            <w:r>
              <w:rPr>
                <w:rFonts w:ascii="Bookman Old Style" w:hAnsi="Bookman Old Style" w:cs="Arial"/>
                <w:sz w:val="16"/>
                <w:szCs w:val="16"/>
              </w:rPr>
              <w:t xml:space="preserve">    </w:t>
            </w:r>
            <w:r w:rsidRPr="006943F0">
              <w:rPr>
                <w:rFonts w:ascii="Bookman Old Style" w:hAnsi="Bookman Old Style" w:cs="Arial"/>
                <w:sz w:val="16"/>
                <w:szCs w:val="16"/>
              </w:rPr>
              <w:t>of</w:t>
            </w:r>
            <w:r>
              <w:rPr>
                <w:rFonts w:ascii="Bookman Old Style" w:hAnsi="Bookman Old Style" w:cs="Arial"/>
                <w:sz w:val="16"/>
                <w:szCs w:val="16"/>
              </w:rPr>
              <w:t xml:space="preserve">   </w:t>
            </w:r>
            <w:smartTag w:uri="urn:schemas-microsoft-com:office:smarttags" w:element="place">
              <w:smartTag w:uri="urn:schemas-microsoft-com:office:smarttags" w:element="country-region">
                <w:r w:rsidRPr="006943F0">
                  <w:rPr>
                    <w:rFonts w:ascii="Bookman Old Style" w:hAnsi="Bookman Old Style" w:cs="Arial"/>
                    <w:sz w:val="16"/>
                    <w:szCs w:val="16"/>
                  </w:rPr>
                  <w:t>India</w:t>
                </w:r>
              </w:smartTag>
            </w:smartTag>
            <w:r w:rsidRPr="006943F0">
              <w:rPr>
                <w:rFonts w:ascii="Bookman Old Style" w:hAnsi="Bookman Old Style" w:cs="Arial"/>
                <w:sz w:val="16"/>
                <w:szCs w:val="16"/>
              </w:rPr>
              <w:t>;</w:t>
            </w:r>
          </w:p>
          <w:p w:rsidR="00165FB9" w:rsidRDefault="00165FB9" w:rsidP="001C4FCD">
            <w:pPr>
              <w:adjustRightInd w:val="0"/>
              <w:spacing w:line="220" w:lineRule="exact"/>
              <w:ind w:left="288" w:right="288"/>
              <w:jc w:val="distribute"/>
              <w:rPr>
                <w:rFonts w:ascii="Bookman Old Style" w:hAnsi="Bookman Old Style" w:cs="Arial"/>
                <w:sz w:val="16"/>
                <w:szCs w:val="16"/>
              </w:rPr>
            </w:pPr>
            <w:r w:rsidRPr="006943F0">
              <w:rPr>
                <w:rFonts w:ascii="Bookman Old Style" w:hAnsi="Bookman Old Style" w:cs="Arial"/>
                <w:sz w:val="16"/>
                <w:szCs w:val="16"/>
              </w:rPr>
              <w:t>Customs</w:t>
            </w:r>
            <w:r>
              <w:rPr>
                <w:rFonts w:ascii="Bookman Old Style" w:hAnsi="Bookman Old Style" w:cs="Arial"/>
                <w:sz w:val="16"/>
                <w:szCs w:val="16"/>
              </w:rPr>
              <w:t xml:space="preserve">   </w:t>
            </w:r>
            <w:r w:rsidRPr="006943F0">
              <w:rPr>
                <w:rFonts w:ascii="Bookman Old Style" w:hAnsi="Bookman Old Style" w:cs="Arial"/>
                <w:sz w:val="16"/>
                <w:szCs w:val="16"/>
              </w:rPr>
              <w:t>Law</w:t>
            </w:r>
            <w:r>
              <w:rPr>
                <w:rFonts w:ascii="Bookman Old Style" w:hAnsi="Bookman Old Style" w:cs="Arial"/>
                <w:sz w:val="16"/>
                <w:szCs w:val="16"/>
              </w:rPr>
              <w:t xml:space="preserve">   </w:t>
            </w:r>
            <w:r w:rsidRPr="006943F0">
              <w:rPr>
                <w:rFonts w:ascii="Bookman Old Style" w:hAnsi="Bookman Old Style" w:cs="Arial"/>
                <w:sz w:val="16"/>
                <w:szCs w:val="16"/>
              </w:rPr>
              <w:t>Manual;</w:t>
            </w:r>
            <w:r>
              <w:rPr>
                <w:rFonts w:ascii="Bookman Old Style" w:hAnsi="Bookman Old Style" w:cs="Arial"/>
                <w:sz w:val="16"/>
                <w:szCs w:val="16"/>
              </w:rPr>
              <w:t xml:space="preserve">  </w:t>
            </w:r>
            <w:r w:rsidRPr="006943F0">
              <w:rPr>
                <w:rFonts w:ascii="Bookman Old Style" w:hAnsi="Bookman Old Style" w:cs="Arial"/>
                <w:sz w:val="16"/>
                <w:szCs w:val="16"/>
              </w:rPr>
              <w:t>Excise</w:t>
            </w:r>
            <w:r>
              <w:rPr>
                <w:rFonts w:ascii="Bookman Old Style" w:hAnsi="Bookman Old Style" w:cs="Arial"/>
                <w:sz w:val="16"/>
                <w:szCs w:val="16"/>
              </w:rPr>
              <w:t xml:space="preserve">  </w:t>
            </w:r>
            <w:r w:rsidRPr="006943F0">
              <w:rPr>
                <w:rFonts w:ascii="Bookman Old Style" w:hAnsi="Bookman Old Style" w:cs="Arial"/>
                <w:sz w:val="16"/>
                <w:szCs w:val="16"/>
              </w:rPr>
              <w:t>&amp;</w:t>
            </w:r>
            <w:r>
              <w:rPr>
                <w:rFonts w:ascii="Bookman Old Style" w:hAnsi="Bookman Old Style" w:cs="Arial"/>
                <w:sz w:val="16"/>
                <w:szCs w:val="16"/>
              </w:rPr>
              <w:t xml:space="preserve">   </w:t>
            </w:r>
            <w:r w:rsidRPr="006943F0">
              <w:rPr>
                <w:rFonts w:ascii="Bookman Old Style" w:hAnsi="Bookman Old Style" w:cs="Arial"/>
                <w:sz w:val="16"/>
                <w:szCs w:val="16"/>
              </w:rPr>
              <w:t>Customs</w:t>
            </w:r>
            <w:r>
              <w:rPr>
                <w:rFonts w:ascii="Bookman Old Style" w:hAnsi="Bookman Old Style" w:cs="Arial"/>
                <w:sz w:val="16"/>
                <w:szCs w:val="16"/>
              </w:rPr>
              <w:t xml:space="preserve">    </w:t>
            </w:r>
            <w:r w:rsidRPr="006943F0">
              <w:rPr>
                <w:rFonts w:ascii="Bookman Old Style" w:hAnsi="Bookman Old Style" w:cs="Arial"/>
                <w:sz w:val="16"/>
                <w:szCs w:val="16"/>
              </w:rPr>
              <w:t>Circulars</w:t>
            </w:r>
          </w:p>
          <w:p w:rsidR="00165FB9" w:rsidRDefault="00165FB9" w:rsidP="001C4FCD">
            <w:pPr>
              <w:adjustRightInd w:val="0"/>
              <w:spacing w:line="220" w:lineRule="exact"/>
              <w:ind w:left="432" w:right="432"/>
              <w:jc w:val="distribute"/>
              <w:rPr>
                <w:rFonts w:ascii="Bookman Old Style" w:hAnsi="Bookman Old Style" w:cs="Arial"/>
                <w:sz w:val="16"/>
                <w:szCs w:val="16"/>
              </w:rPr>
            </w:pPr>
            <w:r w:rsidRPr="006943F0">
              <w:rPr>
                <w:rFonts w:ascii="Bookman Old Style" w:hAnsi="Bookman Old Style" w:cs="Arial"/>
                <w:sz w:val="16"/>
                <w:szCs w:val="16"/>
              </w:rPr>
              <w:t xml:space="preserve">&amp; </w:t>
            </w:r>
            <w:r>
              <w:rPr>
                <w:rFonts w:ascii="Bookman Old Style" w:hAnsi="Bookman Old Style" w:cs="Arial"/>
                <w:sz w:val="16"/>
                <w:szCs w:val="16"/>
              </w:rPr>
              <w:t xml:space="preserve"> </w:t>
            </w:r>
            <w:r w:rsidRPr="006943F0">
              <w:rPr>
                <w:rFonts w:ascii="Bookman Old Style" w:hAnsi="Bookman Old Style" w:cs="Arial"/>
                <w:sz w:val="16"/>
                <w:szCs w:val="16"/>
              </w:rPr>
              <w:t xml:space="preserve">Clarifications; </w:t>
            </w:r>
            <w:r>
              <w:rPr>
                <w:rFonts w:ascii="Bookman Old Style" w:hAnsi="Bookman Old Style" w:cs="Arial"/>
                <w:sz w:val="16"/>
                <w:szCs w:val="16"/>
              </w:rPr>
              <w:t xml:space="preserve"> </w:t>
            </w:r>
            <w:r w:rsidRPr="006943F0">
              <w:rPr>
                <w:rFonts w:ascii="Bookman Old Style" w:hAnsi="Bookman Old Style" w:cs="Arial"/>
                <w:sz w:val="16"/>
                <w:szCs w:val="16"/>
              </w:rPr>
              <w:t xml:space="preserve">Excise </w:t>
            </w:r>
            <w:r>
              <w:rPr>
                <w:rFonts w:ascii="Bookman Old Style" w:hAnsi="Bookman Old Style" w:cs="Arial"/>
                <w:sz w:val="16"/>
                <w:szCs w:val="16"/>
              </w:rPr>
              <w:t xml:space="preserve">  </w:t>
            </w:r>
            <w:r w:rsidRPr="006943F0">
              <w:rPr>
                <w:rFonts w:ascii="Bookman Old Style" w:hAnsi="Bookman Old Style" w:cs="Arial"/>
                <w:sz w:val="16"/>
                <w:szCs w:val="16"/>
              </w:rPr>
              <w:t xml:space="preserve">&amp; </w:t>
            </w:r>
            <w:r>
              <w:rPr>
                <w:rFonts w:ascii="Bookman Old Style" w:hAnsi="Bookman Old Style" w:cs="Arial"/>
                <w:sz w:val="16"/>
                <w:szCs w:val="16"/>
              </w:rPr>
              <w:t xml:space="preserve"> </w:t>
            </w:r>
            <w:r w:rsidRPr="006943F0">
              <w:rPr>
                <w:rFonts w:ascii="Bookman Old Style" w:hAnsi="Bookman Old Style" w:cs="Arial"/>
                <w:sz w:val="16"/>
                <w:szCs w:val="16"/>
              </w:rPr>
              <w:t>Customs</w:t>
            </w:r>
            <w:r>
              <w:rPr>
                <w:rFonts w:ascii="Bookman Old Style" w:hAnsi="Bookman Old Style" w:cs="Arial"/>
                <w:sz w:val="16"/>
                <w:szCs w:val="16"/>
              </w:rPr>
              <w:t xml:space="preserve"> </w:t>
            </w:r>
            <w:r w:rsidRPr="006943F0">
              <w:rPr>
                <w:rFonts w:ascii="Bookman Old Style" w:hAnsi="Bookman Old Style" w:cs="Arial"/>
                <w:sz w:val="16"/>
                <w:szCs w:val="16"/>
              </w:rPr>
              <w:t>Case</w:t>
            </w:r>
            <w:r>
              <w:rPr>
                <w:rFonts w:ascii="Bookman Old Style" w:hAnsi="Bookman Old Style" w:cs="Arial"/>
                <w:sz w:val="16"/>
                <w:szCs w:val="16"/>
              </w:rPr>
              <w:t xml:space="preserve"> </w:t>
            </w:r>
            <w:r w:rsidRPr="006943F0">
              <w:rPr>
                <w:rFonts w:ascii="Bookman Old Style" w:hAnsi="Bookman Old Style" w:cs="Arial"/>
                <w:sz w:val="16"/>
                <w:szCs w:val="16"/>
              </w:rPr>
              <w:t>Referencer;</w:t>
            </w:r>
          </w:p>
          <w:p w:rsidR="00165FB9" w:rsidRDefault="00165FB9" w:rsidP="001C4FCD">
            <w:pPr>
              <w:adjustRightInd w:val="0"/>
              <w:spacing w:line="220" w:lineRule="exact"/>
              <w:ind w:left="576" w:right="576"/>
              <w:jc w:val="distribute"/>
              <w:rPr>
                <w:rFonts w:ascii="Bookman Old Style" w:hAnsi="Bookman Old Style" w:cs="Arial"/>
                <w:sz w:val="16"/>
                <w:szCs w:val="16"/>
              </w:rPr>
            </w:pPr>
            <w:r w:rsidRPr="006943F0">
              <w:rPr>
                <w:rFonts w:ascii="Bookman Old Style" w:hAnsi="Bookman Old Style" w:cs="Arial"/>
                <w:sz w:val="16"/>
                <w:szCs w:val="16"/>
              </w:rPr>
              <w:t>Service</w:t>
            </w:r>
            <w:r>
              <w:rPr>
                <w:rFonts w:ascii="Bookman Old Style" w:hAnsi="Bookman Old Style" w:cs="Arial"/>
                <w:sz w:val="16"/>
                <w:szCs w:val="16"/>
              </w:rPr>
              <w:t xml:space="preserve">  </w:t>
            </w:r>
            <w:r w:rsidRPr="006943F0">
              <w:rPr>
                <w:rFonts w:ascii="Bookman Old Style" w:hAnsi="Bookman Old Style" w:cs="Arial"/>
                <w:sz w:val="16"/>
                <w:szCs w:val="16"/>
              </w:rPr>
              <w:t>Tax</w:t>
            </w:r>
            <w:r>
              <w:rPr>
                <w:rFonts w:ascii="Bookman Old Style" w:hAnsi="Bookman Old Style" w:cs="Arial"/>
                <w:sz w:val="16"/>
                <w:szCs w:val="16"/>
              </w:rPr>
              <w:t xml:space="preserve">  </w:t>
            </w:r>
            <w:r w:rsidRPr="006943F0">
              <w:rPr>
                <w:rFonts w:ascii="Bookman Old Style" w:hAnsi="Bookman Old Style" w:cs="Arial"/>
                <w:sz w:val="16"/>
                <w:szCs w:val="16"/>
              </w:rPr>
              <w:t>Law</w:t>
            </w:r>
            <w:r>
              <w:rPr>
                <w:rFonts w:ascii="Bookman Old Style" w:hAnsi="Bookman Old Style" w:cs="Arial"/>
                <w:sz w:val="16"/>
                <w:szCs w:val="16"/>
              </w:rPr>
              <w:t xml:space="preserve">  </w:t>
            </w:r>
            <w:r w:rsidRPr="006943F0">
              <w:rPr>
                <w:rFonts w:ascii="Bookman Old Style" w:hAnsi="Bookman Old Style" w:cs="Arial"/>
                <w:sz w:val="16"/>
                <w:szCs w:val="16"/>
              </w:rPr>
              <w:t>Guide;</w:t>
            </w:r>
            <w:r>
              <w:rPr>
                <w:rFonts w:ascii="Bookman Old Style" w:hAnsi="Bookman Old Style" w:cs="Arial"/>
                <w:sz w:val="16"/>
                <w:szCs w:val="16"/>
              </w:rPr>
              <w:t xml:space="preserve">   </w:t>
            </w:r>
            <w:r w:rsidRPr="006943F0">
              <w:rPr>
                <w:rFonts w:ascii="Bookman Old Style" w:hAnsi="Bookman Old Style" w:cs="Arial"/>
                <w:sz w:val="16"/>
                <w:szCs w:val="16"/>
              </w:rPr>
              <w:t>Service</w:t>
            </w:r>
            <w:r>
              <w:rPr>
                <w:rFonts w:ascii="Bookman Old Style" w:hAnsi="Bookman Old Style" w:cs="Arial"/>
                <w:sz w:val="16"/>
                <w:szCs w:val="16"/>
              </w:rPr>
              <w:t xml:space="preserve">  </w:t>
            </w:r>
            <w:r w:rsidRPr="006943F0">
              <w:rPr>
                <w:rFonts w:ascii="Bookman Old Style" w:hAnsi="Bookman Old Style" w:cs="Arial"/>
                <w:sz w:val="16"/>
                <w:szCs w:val="16"/>
              </w:rPr>
              <w:t>Tax</w:t>
            </w:r>
            <w:r>
              <w:rPr>
                <w:rFonts w:ascii="Bookman Old Style" w:hAnsi="Bookman Old Style" w:cs="Arial"/>
                <w:sz w:val="16"/>
                <w:szCs w:val="16"/>
              </w:rPr>
              <w:t xml:space="preserve">   </w:t>
            </w:r>
            <w:r w:rsidRPr="006943F0">
              <w:rPr>
                <w:rFonts w:ascii="Bookman Old Style" w:hAnsi="Bookman Old Style" w:cs="Arial"/>
                <w:sz w:val="16"/>
                <w:szCs w:val="16"/>
              </w:rPr>
              <w:t>Handbook;</w:t>
            </w:r>
          </w:p>
          <w:p w:rsidR="00165FB9" w:rsidRDefault="00165FB9" w:rsidP="001C4FCD">
            <w:pPr>
              <w:adjustRightInd w:val="0"/>
              <w:spacing w:line="220" w:lineRule="exact"/>
              <w:ind w:left="691" w:right="691"/>
              <w:jc w:val="distribute"/>
              <w:rPr>
                <w:rFonts w:ascii="Bookman Old Style" w:hAnsi="Bookman Old Style" w:cs="Arial"/>
                <w:sz w:val="16"/>
                <w:szCs w:val="16"/>
              </w:rPr>
            </w:pPr>
            <w:r>
              <w:rPr>
                <w:rFonts w:ascii="Bookman Old Style" w:hAnsi="Bookman Old Style" w:cs="Arial"/>
                <w:sz w:val="16"/>
                <w:szCs w:val="16"/>
              </w:rPr>
              <w:t>Handbook   of   Duty    Drawback    on    Goods  &amp;</w:t>
            </w:r>
          </w:p>
          <w:p w:rsidR="00165FB9" w:rsidRDefault="00165FB9" w:rsidP="001C4FCD">
            <w:pPr>
              <w:adjustRightInd w:val="0"/>
              <w:spacing w:line="220" w:lineRule="exact"/>
              <w:ind w:left="792" w:right="792"/>
              <w:jc w:val="distribute"/>
              <w:rPr>
                <w:rFonts w:ascii="Bookman Old Style" w:hAnsi="Bookman Old Style" w:cs="Arial"/>
                <w:sz w:val="16"/>
                <w:szCs w:val="16"/>
              </w:rPr>
            </w:pPr>
            <w:r>
              <w:rPr>
                <w:rFonts w:ascii="Bookman Old Style" w:hAnsi="Bookman Old Style" w:cs="Arial"/>
                <w:sz w:val="16"/>
                <w:szCs w:val="16"/>
              </w:rPr>
              <w:t xml:space="preserve">Services; </w:t>
            </w:r>
            <w:r w:rsidRPr="006943F0">
              <w:rPr>
                <w:rFonts w:ascii="Bookman Old Style" w:hAnsi="Bookman Old Style" w:cs="Arial"/>
                <w:sz w:val="16"/>
                <w:szCs w:val="16"/>
              </w:rPr>
              <w:t>Valuation</w:t>
            </w:r>
            <w:r>
              <w:rPr>
                <w:rFonts w:ascii="Bookman Old Style" w:hAnsi="Bookman Old Style" w:cs="Arial"/>
                <w:sz w:val="16"/>
                <w:szCs w:val="16"/>
              </w:rPr>
              <w:t xml:space="preserve"> </w:t>
            </w:r>
            <w:r w:rsidRPr="006943F0">
              <w:rPr>
                <w:rFonts w:ascii="Bookman Old Style" w:hAnsi="Bookman Old Style" w:cs="Arial"/>
                <w:sz w:val="16"/>
                <w:szCs w:val="16"/>
              </w:rPr>
              <w:t>under</w:t>
            </w:r>
            <w:r>
              <w:rPr>
                <w:rFonts w:ascii="Bookman Old Style" w:hAnsi="Bookman Old Style" w:cs="Arial"/>
                <w:sz w:val="16"/>
                <w:szCs w:val="16"/>
              </w:rPr>
              <w:t xml:space="preserve"> </w:t>
            </w:r>
            <w:r w:rsidRPr="006943F0">
              <w:rPr>
                <w:rFonts w:ascii="Bookman Old Style" w:hAnsi="Bookman Old Style" w:cs="Arial"/>
                <w:sz w:val="16"/>
                <w:szCs w:val="16"/>
              </w:rPr>
              <w:t>Central</w:t>
            </w:r>
            <w:r>
              <w:rPr>
                <w:rFonts w:ascii="Bookman Old Style" w:hAnsi="Bookman Old Style" w:cs="Arial"/>
                <w:sz w:val="16"/>
                <w:szCs w:val="16"/>
              </w:rPr>
              <w:t xml:space="preserve"> </w:t>
            </w:r>
            <w:r w:rsidRPr="006943F0">
              <w:rPr>
                <w:rFonts w:ascii="Bookman Old Style" w:hAnsi="Bookman Old Style" w:cs="Arial"/>
                <w:sz w:val="16"/>
                <w:szCs w:val="16"/>
              </w:rPr>
              <w:t>Excise</w:t>
            </w:r>
            <w:r>
              <w:rPr>
                <w:rFonts w:ascii="Bookman Old Style" w:hAnsi="Bookman Old Style" w:cs="Arial"/>
                <w:sz w:val="16"/>
                <w:szCs w:val="16"/>
              </w:rPr>
              <w:t>; Hand-</w:t>
            </w:r>
          </w:p>
          <w:p w:rsidR="00165FB9" w:rsidRDefault="00165FB9" w:rsidP="001C4FCD">
            <w:pPr>
              <w:adjustRightInd w:val="0"/>
              <w:spacing w:line="220" w:lineRule="exact"/>
              <w:ind w:left="936" w:right="936"/>
              <w:jc w:val="distribute"/>
            </w:pPr>
            <w:r>
              <w:rPr>
                <w:rFonts w:ascii="Bookman Old Style" w:hAnsi="Bookman Old Style" w:cs="Arial"/>
                <w:sz w:val="16"/>
                <w:szCs w:val="16"/>
              </w:rPr>
              <w:t>book of  Foreign Trade Policy &amp; Procedures</w:t>
            </w:r>
          </w:p>
        </w:tc>
        <w:tc>
          <w:tcPr>
            <w:tcW w:w="4707" w:type="dxa"/>
            <w:vMerge/>
          </w:tcPr>
          <w:p w:rsidR="00165FB9" w:rsidRDefault="00165FB9" w:rsidP="001C4FCD"/>
        </w:tc>
      </w:tr>
    </w:tbl>
    <w:p w:rsidR="00165FB9" w:rsidRDefault="00165FB9"/>
    <w:p w:rsidR="00F6078C" w:rsidRDefault="00F6078C" w:rsidP="00B1571E">
      <w:pPr>
        <w:spacing w:before="120" w:after="180" w:line="360" w:lineRule="auto"/>
        <w:jc w:val="right"/>
        <w:rPr>
          <w:rFonts w:ascii="Arial" w:hAnsi="Arial" w:cs="Arial"/>
          <w:b/>
          <w:u w:val="single"/>
        </w:rPr>
      </w:pPr>
    </w:p>
    <w:p w:rsidR="00165FB9" w:rsidRPr="00B1571E" w:rsidRDefault="00F6078C" w:rsidP="00B1571E">
      <w:pPr>
        <w:spacing w:before="120" w:after="180" w:line="360" w:lineRule="auto"/>
        <w:jc w:val="right"/>
        <w:rPr>
          <w:rFonts w:ascii="Arial" w:hAnsi="Arial" w:cs="Arial"/>
          <w:b/>
          <w:u w:val="single"/>
        </w:rPr>
      </w:pPr>
      <w:r>
        <w:rPr>
          <w:rFonts w:ascii="Arial" w:hAnsi="Arial" w:cs="Arial"/>
          <w:b/>
          <w:u w:val="single"/>
        </w:rPr>
        <w:t>10</w:t>
      </w:r>
      <w:r w:rsidRPr="00F6078C">
        <w:rPr>
          <w:rFonts w:ascii="Arial" w:hAnsi="Arial" w:cs="Arial"/>
          <w:b/>
          <w:u w:val="single"/>
          <w:vertAlign w:val="superscript"/>
        </w:rPr>
        <w:t>th</w:t>
      </w:r>
      <w:r>
        <w:rPr>
          <w:rFonts w:ascii="Arial" w:hAnsi="Arial" w:cs="Arial"/>
          <w:b/>
          <w:u w:val="single"/>
        </w:rPr>
        <w:t xml:space="preserve"> April, 2017</w:t>
      </w:r>
    </w:p>
    <w:p w:rsidR="00B1571E" w:rsidRDefault="00B1571E" w:rsidP="00165FB9">
      <w:pPr>
        <w:spacing w:before="120" w:after="180" w:line="360" w:lineRule="auto"/>
        <w:jc w:val="center"/>
        <w:rPr>
          <w:rFonts w:ascii="Arial" w:hAnsi="Arial" w:cs="Arial"/>
          <w:b/>
          <w:sz w:val="30"/>
          <w:u w:val="single"/>
        </w:rPr>
      </w:pPr>
    </w:p>
    <w:p w:rsidR="00165FB9" w:rsidRPr="005C2A0A" w:rsidRDefault="00165FB9" w:rsidP="00165FB9">
      <w:pPr>
        <w:spacing w:before="120" w:after="180" w:line="360" w:lineRule="auto"/>
        <w:jc w:val="center"/>
        <w:rPr>
          <w:rFonts w:ascii="Arial" w:hAnsi="Arial" w:cs="Arial"/>
          <w:b/>
          <w:sz w:val="30"/>
          <w:u w:val="single"/>
        </w:rPr>
      </w:pPr>
      <w:r w:rsidRPr="005C2A0A">
        <w:rPr>
          <w:rFonts w:ascii="Arial" w:hAnsi="Arial" w:cs="Arial"/>
          <w:b/>
          <w:sz w:val="30"/>
          <w:u w:val="single"/>
        </w:rPr>
        <w:t>COMMENTS &amp; SUGGESTIONS ON DRAFT RTI RULES, 2017</w:t>
      </w:r>
    </w:p>
    <w:p w:rsidR="00165FB9" w:rsidRDefault="00165FB9" w:rsidP="00165FB9">
      <w:pPr>
        <w:spacing w:before="120" w:after="180" w:line="360" w:lineRule="auto"/>
        <w:jc w:val="center"/>
        <w:rPr>
          <w:rFonts w:ascii="Arial" w:hAnsi="Arial" w:cs="Arial"/>
          <w:b/>
          <w:u w:val="single"/>
        </w:rPr>
      </w:pPr>
    </w:p>
    <w:p w:rsidR="00B1571E" w:rsidRPr="00DE2DAC" w:rsidRDefault="00B1571E" w:rsidP="00165FB9">
      <w:pPr>
        <w:spacing w:before="120" w:after="180" w:line="360" w:lineRule="auto"/>
        <w:jc w:val="center"/>
        <w:rPr>
          <w:rFonts w:ascii="Arial" w:hAnsi="Arial" w:cs="Arial"/>
          <w:b/>
          <w:u w:val="single"/>
        </w:rPr>
      </w:pPr>
    </w:p>
    <w:p w:rsidR="00165FB9" w:rsidRPr="005C2A0A" w:rsidRDefault="00165FB9" w:rsidP="00165FB9">
      <w:pPr>
        <w:spacing w:before="120" w:after="180" w:line="360" w:lineRule="auto"/>
        <w:rPr>
          <w:rFonts w:ascii="Arial" w:hAnsi="Arial" w:cs="Arial"/>
          <w:b/>
          <w:szCs w:val="26"/>
          <w:u w:val="single"/>
        </w:rPr>
      </w:pPr>
      <w:r w:rsidRPr="005C2A0A">
        <w:rPr>
          <w:rFonts w:ascii="Arial" w:hAnsi="Arial" w:cs="Arial"/>
          <w:b/>
          <w:szCs w:val="26"/>
          <w:u w:val="single"/>
        </w:rPr>
        <w:t>RULE-WISE COMMENTS AND SUGGESTIONS</w:t>
      </w:r>
    </w:p>
    <w:p w:rsidR="00165FB9" w:rsidRDefault="00165FB9" w:rsidP="00165FB9">
      <w:pPr>
        <w:pStyle w:val="ListParagraph"/>
        <w:numPr>
          <w:ilvl w:val="0"/>
          <w:numId w:val="1"/>
        </w:numPr>
        <w:spacing w:before="120" w:after="180" w:line="360" w:lineRule="auto"/>
        <w:contextualSpacing w:val="0"/>
        <w:rPr>
          <w:rFonts w:ascii="Arial" w:hAnsi="Arial" w:cs="Arial"/>
          <w:b/>
          <w:i/>
        </w:rPr>
      </w:pPr>
      <w:r w:rsidRPr="00122C65">
        <w:rPr>
          <w:rFonts w:ascii="Arial" w:hAnsi="Arial" w:cs="Arial"/>
          <w:b/>
        </w:rPr>
        <w:t>Rule 4</w:t>
      </w:r>
      <w:r w:rsidRPr="002F64B7">
        <w:rPr>
          <w:rFonts w:ascii="Arial" w:hAnsi="Arial" w:cs="Arial"/>
          <w:b/>
        </w:rPr>
        <w:t>:-</w:t>
      </w:r>
    </w:p>
    <w:p w:rsidR="00165FB9" w:rsidRPr="00122C65" w:rsidRDefault="00165FB9" w:rsidP="00165FB9">
      <w:pPr>
        <w:pStyle w:val="ListParagraph"/>
        <w:numPr>
          <w:ilvl w:val="0"/>
          <w:numId w:val="2"/>
        </w:numPr>
        <w:spacing w:before="120" w:after="180" w:line="360" w:lineRule="auto"/>
        <w:contextualSpacing w:val="0"/>
        <w:rPr>
          <w:rFonts w:ascii="Arial" w:hAnsi="Arial" w:cs="Arial"/>
          <w:u w:val="single"/>
        </w:rPr>
      </w:pPr>
      <w:r w:rsidRPr="00122C65">
        <w:rPr>
          <w:rFonts w:ascii="Arial" w:hAnsi="Arial" w:cs="Arial"/>
          <w:b/>
          <w:i/>
        </w:rPr>
        <w:t>Clause (d)</w:t>
      </w:r>
      <w:r w:rsidRPr="00122C65">
        <w:rPr>
          <w:rFonts w:ascii="Arial" w:hAnsi="Arial" w:cs="Arial"/>
          <w:b/>
        </w:rPr>
        <w:t>:-</w:t>
      </w:r>
      <w:r w:rsidRPr="006752D8">
        <w:rPr>
          <w:rFonts w:ascii="Arial" w:hAnsi="Arial" w:cs="Arial"/>
        </w:rPr>
        <w:t xml:space="preserve"> </w:t>
      </w:r>
      <w:r>
        <w:rPr>
          <w:rFonts w:ascii="Arial" w:hAnsi="Arial" w:cs="Arial"/>
        </w:rPr>
        <w:t>Now-a-days, diskette and floppies are no more in circulation, therefore, the expression ‘</w:t>
      </w:r>
      <w:r w:rsidRPr="005C2A0A">
        <w:rPr>
          <w:rFonts w:ascii="Arial" w:hAnsi="Arial" w:cs="Arial"/>
          <w:b/>
        </w:rPr>
        <w:t>diskette or floppy</w:t>
      </w:r>
      <w:r>
        <w:rPr>
          <w:rFonts w:ascii="Arial" w:hAnsi="Arial" w:cs="Arial"/>
        </w:rPr>
        <w:t>’ in proposed Rule 4(d) may be substituted by the words “</w:t>
      </w:r>
      <w:r w:rsidRPr="008C11A1">
        <w:rPr>
          <w:rFonts w:ascii="Arial" w:hAnsi="Arial" w:cs="Arial"/>
          <w:b/>
        </w:rPr>
        <w:t>CD / DVD</w:t>
      </w:r>
      <w:r w:rsidRPr="008C11A1">
        <w:rPr>
          <w:rFonts w:ascii="Arial" w:hAnsi="Arial" w:cs="Arial"/>
        </w:rPr>
        <w:t>”</w:t>
      </w:r>
      <w:r>
        <w:rPr>
          <w:rFonts w:ascii="Arial" w:hAnsi="Arial" w:cs="Arial"/>
        </w:rPr>
        <w:t xml:space="preserve">. Since the cost of digital media has considerably been reduced like CD / DVD are </w:t>
      </w:r>
      <w:r w:rsidRPr="001C7C9B">
        <w:rPr>
          <w:rFonts w:ascii="Arial" w:hAnsi="Arial" w:cs="Arial"/>
        </w:rPr>
        <w:t>available</w:t>
      </w:r>
      <w:r>
        <w:rPr>
          <w:rFonts w:ascii="Arial" w:hAnsi="Arial" w:cs="Arial"/>
        </w:rPr>
        <w:t xml:space="preserve"> for Rs.10 to Rs.15, therefore, the copying fees for supply of </w:t>
      </w:r>
      <w:r w:rsidRPr="006D1388">
        <w:rPr>
          <w:rFonts w:ascii="Arial" w:hAnsi="Arial" w:cs="Arial"/>
        </w:rPr>
        <w:t>information</w:t>
      </w:r>
      <w:r>
        <w:rPr>
          <w:rFonts w:ascii="Arial" w:hAnsi="Arial" w:cs="Arial"/>
        </w:rPr>
        <w:t xml:space="preserve"> on CD/DVD may be </w:t>
      </w:r>
      <w:r w:rsidRPr="008C11A1">
        <w:rPr>
          <w:rFonts w:ascii="Arial" w:hAnsi="Arial" w:cs="Arial"/>
          <w:b/>
        </w:rPr>
        <w:t>reduced from Rs.50/- to Rs.25/-</w:t>
      </w:r>
      <w:r>
        <w:rPr>
          <w:rFonts w:ascii="Arial" w:hAnsi="Arial" w:cs="Arial"/>
        </w:rPr>
        <w:t xml:space="preserve"> to encourage transmission of </w:t>
      </w:r>
      <w:r w:rsidRPr="001C7C9B">
        <w:rPr>
          <w:rFonts w:ascii="Arial" w:hAnsi="Arial" w:cs="Arial"/>
        </w:rPr>
        <w:t>information</w:t>
      </w:r>
      <w:r>
        <w:rPr>
          <w:rFonts w:ascii="Arial" w:hAnsi="Arial" w:cs="Arial"/>
        </w:rPr>
        <w:t xml:space="preserve"> in digital form and in this respect, attention is invited to following Rule 6(c)(i) of Uttrakhand Right to Information Rules, 2013, regarding the copying fee for supply of CD / DVD.</w:t>
      </w:r>
    </w:p>
    <w:p w:rsidR="00165FB9" w:rsidRPr="00A62811" w:rsidRDefault="00165FB9" w:rsidP="00165FB9">
      <w:pPr>
        <w:spacing w:before="120" w:after="180"/>
        <w:ind w:left="1080"/>
        <w:rPr>
          <w:rFonts w:ascii="Arial" w:hAnsi="Arial" w:cs="Arial"/>
          <w:sz w:val="2"/>
          <w:u w:val="single"/>
        </w:rPr>
      </w:pPr>
    </w:p>
    <w:p w:rsidR="00165FB9" w:rsidRDefault="00165FB9" w:rsidP="00165FB9">
      <w:pPr>
        <w:spacing w:before="120" w:after="180" w:line="360" w:lineRule="auto"/>
        <w:ind w:left="2160"/>
        <w:jc w:val="both"/>
        <w:rPr>
          <w:rFonts w:ascii="Arial" w:hAnsi="Arial" w:cs="Arial"/>
        </w:rPr>
      </w:pPr>
      <w:r w:rsidRPr="009D2496">
        <w:rPr>
          <w:rFonts w:ascii="Arial" w:hAnsi="Arial" w:cs="Arial"/>
        </w:rPr>
        <w:t>“</w:t>
      </w:r>
      <w:r>
        <w:rPr>
          <w:rFonts w:ascii="Arial" w:hAnsi="Arial" w:cs="Arial"/>
        </w:rPr>
        <w:t>Rs.20/- (Rupees Twenty only) per CD/DVD for information on CD/DVD”</w:t>
      </w:r>
    </w:p>
    <w:p w:rsidR="00165FB9" w:rsidRPr="006D1388" w:rsidRDefault="00165FB9" w:rsidP="00165FB9">
      <w:pPr>
        <w:spacing w:before="120" w:after="180" w:line="360" w:lineRule="auto"/>
        <w:ind w:left="1020"/>
        <w:jc w:val="both"/>
        <w:rPr>
          <w:rFonts w:ascii="Arial" w:hAnsi="Arial" w:cs="Arial"/>
        </w:rPr>
      </w:pPr>
      <w:r w:rsidRPr="006D1388">
        <w:rPr>
          <w:rFonts w:ascii="Arial" w:hAnsi="Arial" w:cs="Arial"/>
        </w:rPr>
        <w:lastRenderedPageBreak/>
        <w:t xml:space="preserve">On the above lines, proposed Clause (d) of Rule 4 of the RTI Rules, 2017 may suitably be modified. </w:t>
      </w:r>
    </w:p>
    <w:p w:rsidR="00165FB9" w:rsidRDefault="00165FB9" w:rsidP="00165FB9">
      <w:pPr>
        <w:pStyle w:val="ListParagraph"/>
        <w:numPr>
          <w:ilvl w:val="0"/>
          <w:numId w:val="2"/>
        </w:numPr>
        <w:spacing w:before="120" w:after="180" w:line="360" w:lineRule="auto"/>
        <w:contextualSpacing w:val="0"/>
        <w:rPr>
          <w:rFonts w:ascii="Arial" w:hAnsi="Arial" w:cs="Arial"/>
        </w:rPr>
      </w:pPr>
      <w:r w:rsidRPr="00122C65">
        <w:rPr>
          <w:rFonts w:ascii="Arial" w:hAnsi="Arial" w:cs="Arial"/>
          <w:b/>
          <w:i/>
        </w:rPr>
        <w:t>Clause (</w:t>
      </w:r>
      <w:r>
        <w:rPr>
          <w:rFonts w:ascii="Arial" w:hAnsi="Arial" w:cs="Arial"/>
          <w:b/>
          <w:i/>
        </w:rPr>
        <w:t>f</w:t>
      </w:r>
      <w:r w:rsidRPr="00122C65">
        <w:rPr>
          <w:rFonts w:ascii="Arial" w:hAnsi="Arial" w:cs="Arial"/>
          <w:b/>
          <w:i/>
        </w:rPr>
        <w:t>)</w:t>
      </w:r>
      <w:r w:rsidRPr="00122C65">
        <w:rPr>
          <w:rFonts w:ascii="Arial" w:hAnsi="Arial" w:cs="Arial"/>
          <w:b/>
        </w:rPr>
        <w:t>:-</w:t>
      </w:r>
      <w:r w:rsidRPr="006752D8">
        <w:rPr>
          <w:rFonts w:ascii="Arial" w:hAnsi="Arial" w:cs="Arial"/>
        </w:rPr>
        <w:t xml:space="preserve"> </w:t>
      </w:r>
      <w:r>
        <w:rPr>
          <w:rFonts w:ascii="Arial" w:hAnsi="Arial" w:cs="Arial"/>
        </w:rPr>
        <w:t xml:space="preserve">On the analogy of providing free inspection for one hour, free copies of the </w:t>
      </w:r>
      <w:r w:rsidRPr="00A657F3">
        <w:rPr>
          <w:rFonts w:ascii="Arial" w:hAnsi="Arial" w:cs="Arial"/>
        </w:rPr>
        <w:t>information</w:t>
      </w:r>
      <w:r>
        <w:rPr>
          <w:rFonts w:ascii="Arial" w:hAnsi="Arial" w:cs="Arial"/>
        </w:rPr>
        <w:t xml:space="preserve"> upto </w:t>
      </w:r>
      <w:r w:rsidRPr="005D3951">
        <w:rPr>
          <w:rFonts w:ascii="Arial" w:hAnsi="Arial" w:cs="Arial"/>
          <w:b/>
        </w:rPr>
        <w:t xml:space="preserve">5 pages may also be provided </w:t>
      </w:r>
      <w:r>
        <w:rPr>
          <w:rFonts w:ascii="Arial" w:hAnsi="Arial" w:cs="Arial"/>
        </w:rPr>
        <w:t xml:space="preserve">by modifying Clause (f) of proposed Rule 4 as seeking payment for supply of 1 to 5 pages is expensive and it also increases the work load of the </w:t>
      </w:r>
      <w:r w:rsidRPr="00687AF7">
        <w:rPr>
          <w:rFonts w:ascii="Arial" w:hAnsi="Arial" w:cs="Arial"/>
        </w:rPr>
        <w:t>CPIO</w:t>
      </w:r>
      <w:r>
        <w:rPr>
          <w:rFonts w:ascii="Arial" w:hAnsi="Arial" w:cs="Arial"/>
        </w:rPr>
        <w:t xml:space="preserve"> in attending to the avoidable correspondences and encashment of instruments for nominal amount of Rs.2 to Rs.10 is not cost effective. Such free supply will also help in speedy dissemination of </w:t>
      </w:r>
      <w:r w:rsidRPr="004733FB">
        <w:rPr>
          <w:rFonts w:ascii="Arial" w:hAnsi="Arial" w:cs="Arial"/>
        </w:rPr>
        <w:t>information</w:t>
      </w:r>
      <w:r>
        <w:rPr>
          <w:rFonts w:ascii="Arial" w:hAnsi="Arial" w:cs="Arial"/>
        </w:rPr>
        <w:t xml:space="preserve"> and closure of the application. </w:t>
      </w:r>
    </w:p>
    <w:p w:rsidR="00165FB9" w:rsidRDefault="00165FB9" w:rsidP="00165FB9">
      <w:pPr>
        <w:pStyle w:val="ListParagraph"/>
        <w:numPr>
          <w:ilvl w:val="0"/>
          <w:numId w:val="2"/>
        </w:numPr>
        <w:spacing w:before="120" w:after="180" w:line="360" w:lineRule="auto"/>
        <w:contextualSpacing w:val="0"/>
        <w:rPr>
          <w:rFonts w:ascii="Arial" w:hAnsi="Arial" w:cs="Arial"/>
        </w:rPr>
      </w:pPr>
      <w:r w:rsidRPr="002530FF">
        <w:rPr>
          <w:rFonts w:ascii="Arial" w:hAnsi="Arial" w:cs="Arial"/>
          <w:b/>
          <w:i/>
        </w:rPr>
        <w:t>Addition of Clause (ff)</w:t>
      </w:r>
      <w:r w:rsidRPr="002530FF">
        <w:rPr>
          <w:rFonts w:ascii="Arial" w:hAnsi="Arial" w:cs="Arial"/>
          <w:b/>
        </w:rPr>
        <w:t>:-</w:t>
      </w:r>
      <w:r w:rsidRPr="002530FF">
        <w:rPr>
          <w:rFonts w:ascii="Arial" w:hAnsi="Arial" w:cs="Arial"/>
        </w:rPr>
        <w:t xml:space="preserve"> The Prime Minister’s dream for </w:t>
      </w:r>
      <w:r w:rsidRPr="002530FF">
        <w:rPr>
          <w:rFonts w:ascii="Arial" w:hAnsi="Arial" w:cs="Arial"/>
          <w:b/>
        </w:rPr>
        <w:t>‘Digital India’</w:t>
      </w:r>
      <w:r w:rsidRPr="002530FF">
        <w:rPr>
          <w:rFonts w:ascii="Arial" w:hAnsi="Arial" w:cs="Arial"/>
        </w:rPr>
        <w:t xml:space="preserve"> needs to be promoted by providing information free of charge </w:t>
      </w:r>
      <w:r w:rsidRPr="002530FF">
        <w:rPr>
          <w:rFonts w:ascii="Arial" w:hAnsi="Arial" w:cs="Arial"/>
          <w:b/>
        </w:rPr>
        <w:t>by e-mail</w:t>
      </w:r>
      <w:r w:rsidRPr="002530FF">
        <w:rPr>
          <w:rFonts w:ascii="Arial" w:hAnsi="Arial" w:cs="Arial"/>
        </w:rPr>
        <w:t xml:space="preserve"> wherever the information is available in digital form, because no expenses </w:t>
      </w:r>
      <w:r>
        <w:rPr>
          <w:rFonts w:ascii="Arial" w:hAnsi="Arial" w:cs="Arial"/>
        </w:rPr>
        <w:t xml:space="preserve">are </w:t>
      </w:r>
      <w:r w:rsidRPr="002530FF">
        <w:rPr>
          <w:rFonts w:ascii="Arial" w:hAnsi="Arial" w:cs="Arial"/>
        </w:rPr>
        <w:t>incurre</w:t>
      </w:r>
      <w:r>
        <w:rPr>
          <w:rFonts w:ascii="Arial" w:hAnsi="Arial" w:cs="Arial"/>
        </w:rPr>
        <w:t xml:space="preserve">d in sending the </w:t>
      </w:r>
      <w:r w:rsidRPr="00382D56">
        <w:rPr>
          <w:rFonts w:ascii="Arial" w:hAnsi="Arial" w:cs="Arial"/>
        </w:rPr>
        <w:t>information</w:t>
      </w:r>
      <w:r>
        <w:rPr>
          <w:rFonts w:ascii="Arial" w:hAnsi="Arial" w:cs="Arial"/>
        </w:rPr>
        <w:t xml:space="preserve"> in digital form b</w:t>
      </w:r>
      <w:r w:rsidRPr="002530FF">
        <w:rPr>
          <w:rFonts w:ascii="Arial" w:hAnsi="Arial" w:cs="Arial"/>
        </w:rPr>
        <w:t xml:space="preserve">y e-mail.  This is most convenient and economical mode of transmission of information. Even otherwise, as per Section 4 of the RTI Act, all records are required to be digitalised, thus, sending information by e-mail is in line with the spirit and provisions of </w:t>
      </w:r>
      <w:r>
        <w:rPr>
          <w:rFonts w:ascii="Arial" w:hAnsi="Arial" w:cs="Arial"/>
        </w:rPr>
        <w:t>Section 4 of the RTI Act</w:t>
      </w:r>
      <w:r w:rsidRPr="002530FF">
        <w:rPr>
          <w:rFonts w:ascii="Arial" w:hAnsi="Arial" w:cs="Arial"/>
        </w:rPr>
        <w:t xml:space="preserve">. </w:t>
      </w:r>
    </w:p>
    <w:p w:rsidR="00165FB9" w:rsidRPr="002530FF" w:rsidRDefault="00165FB9" w:rsidP="00165FB9">
      <w:pPr>
        <w:pStyle w:val="ListParagraph"/>
        <w:spacing w:before="120" w:after="180" w:line="360" w:lineRule="auto"/>
        <w:ind w:left="1080"/>
        <w:contextualSpacing w:val="0"/>
        <w:rPr>
          <w:rFonts w:ascii="Arial" w:hAnsi="Arial" w:cs="Arial"/>
        </w:rPr>
      </w:pPr>
    </w:p>
    <w:p w:rsidR="00165FB9" w:rsidRPr="002F64B7" w:rsidRDefault="00165FB9" w:rsidP="00165FB9">
      <w:pPr>
        <w:pStyle w:val="ListParagraph"/>
        <w:numPr>
          <w:ilvl w:val="0"/>
          <w:numId w:val="1"/>
        </w:numPr>
        <w:spacing w:before="120" w:after="180" w:line="360" w:lineRule="auto"/>
        <w:contextualSpacing w:val="0"/>
        <w:rPr>
          <w:rFonts w:ascii="Arial" w:hAnsi="Arial" w:cs="Arial"/>
          <w:b/>
        </w:rPr>
      </w:pPr>
      <w:r w:rsidRPr="002F64B7">
        <w:rPr>
          <w:rFonts w:ascii="Arial" w:hAnsi="Arial" w:cs="Arial"/>
          <w:b/>
        </w:rPr>
        <w:t>Rule 9</w:t>
      </w:r>
      <w:r>
        <w:rPr>
          <w:rFonts w:ascii="Arial" w:hAnsi="Arial" w:cs="Arial"/>
          <w:b/>
        </w:rPr>
        <w:t>:-</w:t>
      </w:r>
    </w:p>
    <w:p w:rsidR="00165FB9" w:rsidRDefault="00165FB9" w:rsidP="00165FB9">
      <w:pPr>
        <w:pStyle w:val="ListParagraph"/>
        <w:numPr>
          <w:ilvl w:val="0"/>
          <w:numId w:val="3"/>
        </w:numPr>
        <w:spacing w:before="120" w:after="180" w:line="360" w:lineRule="auto"/>
        <w:contextualSpacing w:val="0"/>
        <w:rPr>
          <w:rFonts w:ascii="Arial" w:hAnsi="Arial" w:cs="Arial"/>
        </w:rPr>
      </w:pPr>
      <w:r w:rsidRPr="00773484">
        <w:rPr>
          <w:rFonts w:ascii="Arial" w:hAnsi="Arial" w:cs="Arial"/>
        </w:rPr>
        <w:t>The RTI Act provides timelines for transfer of RTI Applications in 5 days [(Section 6(3)], issue of third party notice in 5 days [Section 11], providing of information in 30 days [Section 7</w:t>
      </w:r>
      <w:r>
        <w:rPr>
          <w:rFonts w:ascii="Arial" w:hAnsi="Arial" w:cs="Arial"/>
        </w:rPr>
        <w:t>(1)</w:t>
      </w:r>
      <w:r w:rsidRPr="00773484">
        <w:rPr>
          <w:rFonts w:ascii="Arial" w:hAnsi="Arial" w:cs="Arial"/>
        </w:rPr>
        <w:t>] and disposal of 1</w:t>
      </w:r>
      <w:r w:rsidRPr="00773484">
        <w:rPr>
          <w:rFonts w:ascii="Arial" w:hAnsi="Arial" w:cs="Arial"/>
          <w:vertAlign w:val="superscript"/>
        </w:rPr>
        <w:t>st</w:t>
      </w:r>
      <w:r w:rsidRPr="00773484">
        <w:rPr>
          <w:rFonts w:ascii="Arial" w:hAnsi="Arial" w:cs="Arial"/>
        </w:rPr>
        <w:t xml:space="preserve"> Appeal in 30 days [Section 19</w:t>
      </w:r>
      <w:r>
        <w:rPr>
          <w:rFonts w:ascii="Arial" w:hAnsi="Arial" w:cs="Arial"/>
        </w:rPr>
        <w:t>(6)</w:t>
      </w:r>
      <w:r w:rsidRPr="00773484">
        <w:rPr>
          <w:rFonts w:ascii="Arial" w:hAnsi="Arial" w:cs="Arial"/>
        </w:rPr>
        <w:t xml:space="preserve">].  Likewise, there should be a reasonable time limit for the return of </w:t>
      </w:r>
      <w:r>
        <w:rPr>
          <w:rFonts w:ascii="Arial" w:hAnsi="Arial" w:cs="Arial"/>
        </w:rPr>
        <w:t>defective</w:t>
      </w:r>
      <w:r w:rsidRPr="00773484">
        <w:rPr>
          <w:rFonts w:ascii="Arial" w:hAnsi="Arial" w:cs="Arial"/>
        </w:rPr>
        <w:t xml:space="preserve"> Appeal</w:t>
      </w:r>
      <w:r>
        <w:rPr>
          <w:rFonts w:ascii="Arial" w:hAnsi="Arial" w:cs="Arial"/>
        </w:rPr>
        <w:t>s/Complaints</w:t>
      </w:r>
      <w:r w:rsidRPr="00773484">
        <w:rPr>
          <w:rFonts w:ascii="Arial" w:hAnsi="Arial" w:cs="Arial"/>
        </w:rPr>
        <w:t>. In the normal course, an Appeal</w:t>
      </w:r>
      <w:r>
        <w:rPr>
          <w:rFonts w:ascii="Arial" w:hAnsi="Arial" w:cs="Arial"/>
        </w:rPr>
        <w:t>/Complaint</w:t>
      </w:r>
      <w:r w:rsidRPr="00773484">
        <w:rPr>
          <w:rFonts w:ascii="Arial" w:hAnsi="Arial" w:cs="Arial"/>
        </w:rPr>
        <w:t xml:space="preserve"> should be registered within </w:t>
      </w:r>
      <w:r>
        <w:rPr>
          <w:rFonts w:ascii="Arial" w:hAnsi="Arial" w:cs="Arial"/>
        </w:rPr>
        <w:t>3-</w:t>
      </w:r>
      <w:r w:rsidRPr="00773484">
        <w:rPr>
          <w:rFonts w:ascii="Arial" w:hAnsi="Arial" w:cs="Arial"/>
        </w:rPr>
        <w:t xml:space="preserve">7 days, therefore, </w:t>
      </w:r>
      <w:r w:rsidRPr="00B31152">
        <w:rPr>
          <w:rFonts w:ascii="Arial" w:hAnsi="Arial" w:cs="Arial"/>
          <w:b/>
        </w:rPr>
        <w:t>a proviso may be added to</w:t>
      </w:r>
      <w:r>
        <w:rPr>
          <w:rFonts w:ascii="Arial" w:hAnsi="Arial" w:cs="Arial"/>
          <w:b/>
        </w:rPr>
        <w:t xml:space="preserve"> </w:t>
      </w:r>
      <w:r w:rsidRPr="003438A2">
        <w:rPr>
          <w:rFonts w:ascii="Arial" w:hAnsi="Arial" w:cs="Arial"/>
          <w:b/>
        </w:rPr>
        <w:t>proposed</w:t>
      </w:r>
      <w:r w:rsidRPr="00B31152">
        <w:rPr>
          <w:rFonts w:ascii="Arial" w:hAnsi="Arial" w:cs="Arial"/>
          <w:b/>
        </w:rPr>
        <w:t xml:space="preserve"> Rule 9 providing for issue of defect memo within a maximum period of 15 days</w:t>
      </w:r>
      <w:r>
        <w:rPr>
          <w:rFonts w:ascii="Arial" w:hAnsi="Arial" w:cs="Arial"/>
          <w:b/>
        </w:rPr>
        <w:t xml:space="preserve"> from the receipt of the appeal/complaint in the CIC</w:t>
      </w:r>
      <w:r>
        <w:rPr>
          <w:rFonts w:ascii="Arial" w:hAnsi="Arial" w:cs="Arial"/>
        </w:rPr>
        <w:t xml:space="preserve">. </w:t>
      </w:r>
    </w:p>
    <w:p w:rsidR="00165FB9" w:rsidRDefault="00165FB9" w:rsidP="00165FB9">
      <w:pPr>
        <w:pStyle w:val="ListParagraph"/>
        <w:spacing w:before="120" w:after="180" w:line="360" w:lineRule="auto"/>
        <w:ind w:left="1080"/>
        <w:contextualSpacing w:val="0"/>
        <w:rPr>
          <w:rFonts w:ascii="Arial" w:hAnsi="Arial" w:cs="Arial"/>
        </w:rPr>
      </w:pPr>
    </w:p>
    <w:p w:rsidR="007F7552" w:rsidRDefault="007F7552" w:rsidP="00165FB9">
      <w:pPr>
        <w:pStyle w:val="ListParagraph"/>
        <w:spacing w:before="120" w:after="180" w:line="360" w:lineRule="auto"/>
        <w:ind w:left="1080"/>
        <w:contextualSpacing w:val="0"/>
        <w:rPr>
          <w:rFonts w:ascii="Arial" w:hAnsi="Arial" w:cs="Arial"/>
        </w:rPr>
      </w:pPr>
    </w:p>
    <w:p w:rsidR="00165FB9" w:rsidRPr="00077223" w:rsidRDefault="00165FB9" w:rsidP="00165FB9">
      <w:pPr>
        <w:pStyle w:val="ListParagraph"/>
        <w:numPr>
          <w:ilvl w:val="0"/>
          <w:numId w:val="1"/>
        </w:numPr>
        <w:spacing w:before="120" w:after="180"/>
        <w:contextualSpacing w:val="0"/>
        <w:rPr>
          <w:rFonts w:ascii="Arial" w:hAnsi="Arial" w:cs="Arial"/>
          <w:b/>
          <w:i/>
        </w:rPr>
      </w:pPr>
      <w:r w:rsidRPr="00773484">
        <w:rPr>
          <w:rFonts w:ascii="Arial" w:hAnsi="Arial" w:cs="Arial"/>
        </w:rPr>
        <w:lastRenderedPageBreak/>
        <w:t xml:space="preserve"> </w:t>
      </w:r>
      <w:r>
        <w:rPr>
          <w:rFonts w:ascii="Arial" w:hAnsi="Arial" w:cs="Arial"/>
          <w:b/>
        </w:rPr>
        <w:t xml:space="preserve">Rule 10:- </w:t>
      </w:r>
    </w:p>
    <w:p w:rsidR="00165FB9" w:rsidRPr="00E5016C" w:rsidRDefault="00165FB9" w:rsidP="00165FB9">
      <w:pPr>
        <w:pStyle w:val="ListParagraph"/>
        <w:numPr>
          <w:ilvl w:val="0"/>
          <w:numId w:val="4"/>
        </w:numPr>
        <w:spacing w:before="120" w:after="180" w:line="360" w:lineRule="auto"/>
        <w:ind w:left="1077" w:hanging="357"/>
        <w:contextualSpacing w:val="0"/>
        <w:rPr>
          <w:rFonts w:ascii="Arial" w:hAnsi="Arial" w:cs="Arial"/>
          <w:b/>
          <w:i/>
        </w:rPr>
      </w:pPr>
      <w:r>
        <w:rPr>
          <w:rFonts w:ascii="Arial" w:hAnsi="Arial" w:cs="Arial"/>
        </w:rPr>
        <w:t>The words “</w:t>
      </w:r>
      <w:r w:rsidRPr="001C6269">
        <w:rPr>
          <w:rFonts w:ascii="Arial" w:hAnsi="Arial" w:cs="Arial"/>
          <w:b/>
        </w:rPr>
        <w:t>a period of 45 days</w:t>
      </w:r>
      <w:r>
        <w:rPr>
          <w:rFonts w:ascii="Arial" w:hAnsi="Arial" w:cs="Arial"/>
        </w:rPr>
        <w:t xml:space="preserve">” in Clause (b) of sub-rule (2) of proposed Rule 10 is contrary to the provisions contained in Section 19(3) </w:t>
      </w:r>
      <w:r w:rsidRPr="00E97DB9">
        <w:rPr>
          <w:rFonts w:ascii="Arial" w:hAnsi="Arial" w:cs="Arial"/>
        </w:rPr>
        <w:t>of the RTI Act</w:t>
      </w:r>
      <w:r>
        <w:rPr>
          <w:rFonts w:ascii="Arial" w:hAnsi="Arial" w:cs="Arial"/>
        </w:rPr>
        <w:t xml:space="preserve">.  According to section 19(3) </w:t>
      </w:r>
      <w:r w:rsidRPr="008F3A39">
        <w:rPr>
          <w:rFonts w:ascii="Arial" w:hAnsi="Arial" w:cs="Arial"/>
        </w:rPr>
        <w:t>of the RTI Act</w:t>
      </w:r>
      <w:r>
        <w:rPr>
          <w:rFonts w:ascii="Arial" w:hAnsi="Arial" w:cs="Arial"/>
        </w:rPr>
        <w:t>, a 2</w:t>
      </w:r>
      <w:r w:rsidRPr="00932320">
        <w:rPr>
          <w:rFonts w:ascii="Arial" w:hAnsi="Arial" w:cs="Arial"/>
          <w:vertAlign w:val="superscript"/>
        </w:rPr>
        <w:t>nd</w:t>
      </w:r>
      <w:r>
        <w:rPr>
          <w:rFonts w:ascii="Arial" w:hAnsi="Arial" w:cs="Arial"/>
        </w:rPr>
        <w:t xml:space="preserve"> Appeal is to be filed within 90 days from the date on which the decision should have been made in 1</w:t>
      </w:r>
      <w:r w:rsidRPr="00932320">
        <w:rPr>
          <w:rFonts w:ascii="Arial" w:hAnsi="Arial" w:cs="Arial"/>
          <w:vertAlign w:val="superscript"/>
        </w:rPr>
        <w:t>st</w:t>
      </w:r>
      <w:r>
        <w:rPr>
          <w:rFonts w:ascii="Arial" w:hAnsi="Arial" w:cs="Arial"/>
        </w:rPr>
        <w:t xml:space="preserve"> Appeal. Section 19(6) provides that the 1</w:t>
      </w:r>
      <w:r w:rsidRPr="005459D8">
        <w:rPr>
          <w:rFonts w:ascii="Arial" w:hAnsi="Arial" w:cs="Arial"/>
          <w:vertAlign w:val="superscript"/>
        </w:rPr>
        <w:t>st</w:t>
      </w:r>
      <w:r>
        <w:rPr>
          <w:rFonts w:ascii="Arial" w:hAnsi="Arial" w:cs="Arial"/>
        </w:rPr>
        <w:t xml:space="preserve"> Appeal “</w:t>
      </w:r>
      <w:r w:rsidRPr="005459D8">
        <w:rPr>
          <w:rFonts w:ascii="Arial" w:hAnsi="Arial" w:cs="Arial"/>
          <w:b/>
        </w:rPr>
        <w:t>shall be disposed of within 30 days of the receipt of the Appeal</w:t>
      </w:r>
      <w:r w:rsidRPr="005459D8">
        <w:rPr>
          <w:rFonts w:ascii="Arial" w:hAnsi="Arial" w:cs="Arial"/>
        </w:rPr>
        <w:t>”</w:t>
      </w:r>
      <w:r>
        <w:rPr>
          <w:rFonts w:ascii="Arial" w:hAnsi="Arial" w:cs="Arial"/>
        </w:rPr>
        <w:t>, therefore, the statutory time limit for disposal of 1</w:t>
      </w:r>
      <w:r w:rsidRPr="001961DF">
        <w:rPr>
          <w:rFonts w:ascii="Arial" w:hAnsi="Arial" w:cs="Arial"/>
          <w:vertAlign w:val="superscript"/>
        </w:rPr>
        <w:t>st</w:t>
      </w:r>
      <w:r>
        <w:rPr>
          <w:rFonts w:ascii="Arial" w:hAnsi="Arial" w:cs="Arial"/>
        </w:rPr>
        <w:t xml:space="preserve"> Appeal is 30 days.  The extended period up to 45 days is </w:t>
      </w:r>
      <w:r w:rsidRPr="001961DF">
        <w:rPr>
          <w:rFonts w:ascii="Arial" w:hAnsi="Arial" w:cs="Arial"/>
        </w:rPr>
        <w:t>available</w:t>
      </w:r>
      <w:r>
        <w:rPr>
          <w:rFonts w:ascii="Arial" w:hAnsi="Arial" w:cs="Arial"/>
        </w:rPr>
        <w:t xml:space="preserve"> only when reasons are recorded for availing extended period of another 15 days.  But where the 1</w:t>
      </w:r>
      <w:r w:rsidRPr="001F0EB5">
        <w:rPr>
          <w:rFonts w:ascii="Arial" w:hAnsi="Arial" w:cs="Arial"/>
          <w:vertAlign w:val="superscript"/>
        </w:rPr>
        <w:t>st</w:t>
      </w:r>
      <w:r>
        <w:rPr>
          <w:rFonts w:ascii="Arial" w:hAnsi="Arial" w:cs="Arial"/>
        </w:rPr>
        <w:t xml:space="preserve"> Appeal is not disposed of, then there cannot be any question of automatic extension of time-limit for disposal of 1</w:t>
      </w:r>
      <w:r w:rsidRPr="00BE0814">
        <w:rPr>
          <w:rFonts w:ascii="Arial" w:hAnsi="Arial" w:cs="Arial"/>
          <w:vertAlign w:val="superscript"/>
        </w:rPr>
        <w:t>st</w:t>
      </w:r>
      <w:r>
        <w:rPr>
          <w:rFonts w:ascii="Arial" w:hAnsi="Arial" w:cs="Arial"/>
        </w:rPr>
        <w:t xml:space="preserve"> Appeal up to 45 days. Thus, the words “</w:t>
      </w:r>
      <w:r w:rsidRPr="006F6536">
        <w:rPr>
          <w:rFonts w:ascii="Arial" w:hAnsi="Arial" w:cs="Arial"/>
          <w:b/>
        </w:rPr>
        <w:t>a period of 45 days”</w:t>
      </w:r>
      <w:r>
        <w:rPr>
          <w:rFonts w:ascii="Arial" w:hAnsi="Arial" w:cs="Arial"/>
        </w:rPr>
        <w:t xml:space="preserve"> in proposed Rule 10(2)(b) may be substituted by the words “</w:t>
      </w:r>
      <w:r w:rsidRPr="00F43A7D">
        <w:rPr>
          <w:rFonts w:ascii="Arial" w:hAnsi="Arial" w:cs="Arial"/>
          <w:b/>
        </w:rPr>
        <w:t>a period specified in Section 19(3) of the RTI Act</w:t>
      </w:r>
      <w:r>
        <w:rPr>
          <w:rFonts w:ascii="Arial" w:hAnsi="Arial" w:cs="Arial"/>
        </w:rPr>
        <w:t xml:space="preserve">” to bring this Rule in conformity with the provisions of the RTI Act. </w:t>
      </w:r>
    </w:p>
    <w:p w:rsidR="00165FB9" w:rsidRPr="0054075E" w:rsidRDefault="00165FB9" w:rsidP="00165FB9">
      <w:pPr>
        <w:pStyle w:val="ListParagraph"/>
        <w:numPr>
          <w:ilvl w:val="0"/>
          <w:numId w:val="4"/>
        </w:numPr>
        <w:spacing w:before="120" w:after="180" w:line="360" w:lineRule="auto"/>
        <w:ind w:left="1077" w:hanging="357"/>
        <w:contextualSpacing w:val="0"/>
        <w:rPr>
          <w:rFonts w:ascii="Arial" w:hAnsi="Arial" w:cs="Arial"/>
          <w:b/>
          <w:i/>
        </w:rPr>
      </w:pPr>
      <w:r>
        <w:rPr>
          <w:rFonts w:ascii="Arial" w:hAnsi="Arial" w:cs="Arial"/>
        </w:rPr>
        <w:t xml:space="preserve">Proposed </w:t>
      </w:r>
      <w:r w:rsidRPr="001B7B7F">
        <w:rPr>
          <w:rFonts w:ascii="Arial" w:hAnsi="Arial" w:cs="Arial"/>
        </w:rPr>
        <w:t>Rule</w:t>
      </w:r>
      <w:r>
        <w:rPr>
          <w:rFonts w:ascii="Arial" w:hAnsi="Arial" w:cs="Arial"/>
        </w:rPr>
        <w:t xml:space="preserve"> 10 needs to be suitably modified to provide for direct filing of 2</w:t>
      </w:r>
      <w:r w:rsidRPr="001B7B7F">
        <w:rPr>
          <w:rFonts w:ascii="Arial" w:hAnsi="Arial" w:cs="Arial"/>
          <w:vertAlign w:val="superscript"/>
        </w:rPr>
        <w:t>nd</w:t>
      </w:r>
      <w:r>
        <w:rPr>
          <w:rFonts w:ascii="Arial" w:hAnsi="Arial" w:cs="Arial"/>
        </w:rPr>
        <w:t xml:space="preserve"> Appeal to the CIC, where the </w:t>
      </w:r>
      <w:r w:rsidRPr="001B7B7F">
        <w:rPr>
          <w:rFonts w:ascii="Arial" w:hAnsi="Arial" w:cs="Arial"/>
        </w:rPr>
        <w:t>First Appellate Authority</w:t>
      </w:r>
      <w:r>
        <w:rPr>
          <w:rFonts w:ascii="Arial" w:hAnsi="Arial" w:cs="Arial"/>
        </w:rPr>
        <w:t xml:space="preserve"> has not been appointed or the said post is lying vacant.  In such cases, the remedy of 1</w:t>
      </w:r>
      <w:r w:rsidRPr="00A10C38">
        <w:rPr>
          <w:rFonts w:ascii="Arial" w:hAnsi="Arial" w:cs="Arial"/>
          <w:vertAlign w:val="superscript"/>
        </w:rPr>
        <w:t>st</w:t>
      </w:r>
      <w:r>
        <w:rPr>
          <w:rFonts w:ascii="Arial" w:hAnsi="Arial" w:cs="Arial"/>
        </w:rPr>
        <w:t xml:space="preserve"> Appeal is ineffective and illusory and filing of complaint under Section 18 </w:t>
      </w:r>
      <w:r w:rsidRPr="00CF3B57">
        <w:rPr>
          <w:rFonts w:ascii="Arial" w:hAnsi="Arial" w:cs="Arial"/>
        </w:rPr>
        <w:t>of the RTI Act</w:t>
      </w:r>
      <w:r>
        <w:rPr>
          <w:rFonts w:ascii="Arial" w:hAnsi="Arial" w:cs="Arial"/>
        </w:rPr>
        <w:t xml:space="preserve"> is of no avail for obtaining the </w:t>
      </w:r>
      <w:r w:rsidRPr="00CF3B57">
        <w:rPr>
          <w:rFonts w:ascii="Arial" w:hAnsi="Arial" w:cs="Arial"/>
        </w:rPr>
        <w:t>information</w:t>
      </w:r>
      <w:r>
        <w:rPr>
          <w:rFonts w:ascii="Arial" w:hAnsi="Arial" w:cs="Arial"/>
        </w:rPr>
        <w:t xml:space="preserve"> because of Supreme Court decision in the case of </w:t>
      </w:r>
      <w:r w:rsidRPr="001F5B6E">
        <w:rPr>
          <w:rFonts w:ascii="Arial" w:hAnsi="Arial" w:cs="Arial"/>
          <w:i/>
        </w:rPr>
        <w:t>State of Manipur v. CIC</w:t>
      </w:r>
      <w:r>
        <w:rPr>
          <w:rFonts w:ascii="Arial" w:hAnsi="Arial" w:cs="Arial"/>
        </w:rPr>
        <w:t xml:space="preserve"> whereunder it was held that the </w:t>
      </w:r>
      <w:r w:rsidRPr="005F04A8">
        <w:rPr>
          <w:rFonts w:ascii="Arial" w:hAnsi="Arial" w:cs="Arial"/>
        </w:rPr>
        <w:t>information</w:t>
      </w:r>
      <w:r>
        <w:rPr>
          <w:rFonts w:ascii="Arial" w:hAnsi="Arial" w:cs="Arial"/>
        </w:rPr>
        <w:t xml:space="preserve"> cannot be sought on a complaint under section 18 of the RTI Act. </w:t>
      </w:r>
    </w:p>
    <w:p w:rsidR="00165FB9" w:rsidRPr="009F472D" w:rsidRDefault="00165FB9" w:rsidP="00165FB9">
      <w:pPr>
        <w:pStyle w:val="ListParagraph"/>
        <w:numPr>
          <w:ilvl w:val="0"/>
          <w:numId w:val="4"/>
        </w:numPr>
        <w:spacing w:before="120" w:after="180" w:line="360" w:lineRule="auto"/>
        <w:ind w:left="1077" w:hanging="357"/>
        <w:contextualSpacing w:val="0"/>
        <w:rPr>
          <w:rFonts w:ascii="Arial" w:hAnsi="Arial" w:cs="Arial"/>
          <w:b/>
          <w:i/>
        </w:rPr>
      </w:pPr>
      <w:r>
        <w:rPr>
          <w:rFonts w:ascii="Arial" w:hAnsi="Arial" w:cs="Arial"/>
        </w:rPr>
        <w:t xml:space="preserve">Suitable provisions may also be made in proposed Rule 10 so as to make the </w:t>
      </w:r>
      <w:r w:rsidRPr="0054075E">
        <w:rPr>
          <w:rFonts w:ascii="Arial" w:hAnsi="Arial" w:cs="Arial"/>
        </w:rPr>
        <w:t>F.A.A.</w:t>
      </w:r>
      <w:r>
        <w:rPr>
          <w:rFonts w:ascii="Arial" w:hAnsi="Arial" w:cs="Arial"/>
        </w:rPr>
        <w:t xml:space="preserve"> a party to the 2</w:t>
      </w:r>
      <w:r w:rsidRPr="0054075E">
        <w:rPr>
          <w:rFonts w:ascii="Arial" w:hAnsi="Arial" w:cs="Arial"/>
          <w:vertAlign w:val="superscript"/>
        </w:rPr>
        <w:t>nd</w:t>
      </w:r>
      <w:r>
        <w:rPr>
          <w:rFonts w:ascii="Arial" w:hAnsi="Arial" w:cs="Arial"/>
        </w:rPr>
        <w:t xml:space="preserve"> appeal where the </w:t>
      </w:r>
      <w:r w:rsidRPr="0054075E">
        <w:rPr>
          <w:rFonts w:ascii="Arial" w:hAnsi="Arial" w:cs="Arial"/>
        </w:rPr>
        <w:t>F.A.A.</w:t>
      </w:r>
      <w:r>
        <w:rPr>
          <w:rFonts w:ascii="Arial" w:hAnsi="Arial" w:cs="Arial"/>
        </w:rPr>
        <w:t xml:space="preserve"> has failed to pass order despite filing of the 1</w:t>
      </w:r>
      <w:r w:rsidRPr="0054075E">
        <w:rPr>
          <w:rFonts w:ascii="Arial" w:hAnsi="Arial" w:cs="Arial"/>
          <w:vertAlign w:val="superscript"/>
        </w:rPr>
        <w:t>st</w:t>
      </w:r>
      <w:r>
        <w:rPr>
          <w:rFonts w:ascii="Arial" w:hAnsi="Arial" w:cs="Arial"/>
        </w:rPr>
        <w:t xml:space="preserve"> appeal. This will bring in seriousness and accountability of the institution of </w:t>
      </w:r>
      <w:r w:rsidRPr="0054075E">
        <w:rPr>
          <w:rFonts w:ascii="Arial" w:hAnsi="Arial" w:cs="Arial"/>
        </w:rPr>
        <w:t>F.A.A.</w:t>
      </w:r>
    </w:p>
    <w:p w:rsidR="00165FB9" w:rsidRPr="00661CA6" w:rsidRDefault="00165FB9" w:rsidP="00165FB9">
      <w:pPr>
        <w:pStyle w:val="ListParagraph"/>
        <w:spacing w:before="120" w:after="180" w:line="360" w:lineRule="auto"/>
        <w:ind w:left="1077"/>
        <w:contextualSpacing w:val="0"/>
        <w:rPr>
          <w:rFonts w:ascii="Arial" w:hAnsi="Arial" w:cs="Arial"/>
          <w:b/>
          <w:i/>
        </w:rPr>
      </w:pPr>
    </w:p>
    <w:p w:rsidR="00165FB9" w:rsidRPr="00AB23E7" w:rsidRDefault="00165FB9" w:rsidP="00165FB9">
      <w:pPr>
        <w:pStyle w:val="ListParagraph"/>
        <w:numPr>
          <w:ilvl w:val="0"/>
          <w:numId w:val="1"/>
        </w:numPr>
        <w:spacing w:before="120" w:after="180" w:line="360" w:lineRule="auto"/>
        <w:contextualSpacing w:val="0"/>
        <w:rPr>
          <w:rFonts w:ascii="Arial" w:hAnsi="Arial" w:cs="Arial"/>
          <w:b/>
        </w:rPr>
      </w:pPr>
      <w:r>
        <w:rPr>
          <w:rFonts w:ascii="Arial" w:hAnsi="Arial" w:cs="Arial"/>
          <w:b/>
        </w:rPr>
        <w:t>Rule 11:-</w:t>
      </w:r>
    </w:p>
    <w:p w:rsidR="00165FB9" w:rsidRDefault="00165FB9" w:rsidP="00165FB9">
      <w:pPr>
        <w:pStyle w:val="ListParagraph"/>
        <w:spacing w:before="120" w:after="180" w:line="360" w:lineRule="auto"/>
        <w:ind w:left="1080"/>
        <w:contextualSpacing w:val="0"/>
        <w:rPr>
          <w:rFonts w:ascii="Arial" w:hAnsi="Arial" w:cs="Arial"/>
        </w:rPr>
      </w:pPr>
      <w:r>
        <w:rPr>
          <w:rFonts w:ascii="Arial" w:hAnsi="Arial" w:cs="Arial"/>
        </w:rPr>
        <w:t>Proposed</w:t>
      </w:r>
      <w:r w:rsidRPr="00EE1D90">
        <w:rPr>
          <w:rFonts w:ascii="Arial" w:hAnsi="Arial" w:cs="Arial"/>
        </w:rPr>
        <w:t xml:space="preserve"> Rule 11(</w:t>
      </w:r>
      <w:r>
        <w:rPr>
          <w:rFonts w:ascii="Arial" w:hAnsi="Arial" w:cs="Arial"/>
        </w:rPr>
        <w:t>iv</w:t>
      </w:r>
      <w:r w:rsidRPr="00EE1D90">
        <w:rPr>
          <w:rFonts w:ascii="Arial" w:hAnsi="Arial" w:cs="Arial"/>
        </w:rPr>
        <w:t xml:space="preserve">) provides only for hearing of CPIO, F.A.A. or person against whose action the appeal is preferred but </w:t>
      </w:r>
      <w:r>
        <w:rPr>
          <w:rFonts w:ascii="Arial" w:hAnsi="Arial" w:cs="Arial"/>
        </w:rPr>
        <w:t xml:space="preserve">it </w:t>
      </w:r>
      <w:r w:rsidRPr="00EE1D90">
        <w:rPr>
          <w:rFonts w:ascii="Arial" w:hAnsi="Arial" w:cs="Arial"/>
        </w:rPr>
        <w:t xml:space="preserve">does not </w:t>
      </w:r>
      <w:r>
        <w:rPr>
          <w:rFonts w:ascii="Arial" w:hAnsi="Arial" w:cs="Arial"/>
        </w:rPr>
        <w:t xml:space="preserve">provide for </w:t>
      </w:r>
      <w:r>
        <w:rPr>
          <w:rFonts w:ascii="Arial" w:hAnsi="Arial" w:cs="Arial"/>
        </w:rPr>
        <w:lastRenderedPageBreak/>
        <w:t xml:space="preserve">hearing the </w:t>
      </w:r>
      <w:r w:rsidRPr="00EE1D90">
        <w:rPr>
          <w:rFonts w:ascii="Arial" w:hAnsi="Arial" w:cs="Arial"/>
        </w:rPr>
        <w:t>appellant</w:t>
      </w:r>
      <w:r>
        <w:rPr>
          <w:rFonts w:ascii="Arial" w:hAnsi="Arial" w:cs="Arial"/>
        </w:rPr>
        <w:t xml:space="preserve">. This sub rule needs to be suitably amended to recognise the right of the </w:t>
      </w:r>
      <w:r w:rsidRPr="00EE1D90">
        <w:rPr>
          <w:rFonts w:ascii="Arial" w:hAnsi="Arial" w:cs="Arial"/>
        </w:rPr>
        <w:t>appellant</w:t>
      </w:r>
      <w:r>
        <w:rPr>
          <w:rFonts w:ascii="Arial" w:hAnsi="Arial" w:cs="Arial"/>
        </w:rPr>
        <w:t xml:space="preserve"> to be heard on his appeal.</w:t>
      </w:r>
    </w:p>
    <w:p w:rsidR="00165FB9" w:rsidRPr="00EE1D90" w:rsidRDefault="00165FB9" w:rsidP="00165FB9">
      <w:pPr>
        <w:pStyle w:val="ListParagraph"/>
        <w:spacing w:before="120" w:after="180" w:line="360" w:lineRule="auto"/>
        <w:ind w:left="1080"/>
        <w:contextualSpacing w:val="0"/>
        <w:jc w:val="center"/>
        <w:rPr>
          <w:rFonts w:ascii="Arial" w:hAnsi="Arial" w:cs="Arial"/>
        </w:rPr>
      </w:pPr>
    </w:p>
    <w:p w:rsidR="00165FB9" w:rsidRPr="0022341A" w:rsidRDefault="00165FB9" w:rsidP="00165FB9">
      <w:pPr>
        <w:pStyle w:val="ListParagraph"/>
        <w:numPr>
          <w:ilvl w:val="0"/>
          <w:numId w:val="1"/>
        </w:numPr>
        <w:spacing w:before="120" w:after="180" w:line="360" w:lineRule="auto"/>
        <w:contextualSpacing w:val="0"/>
        <w:rPr>
          <w:rFonts w:ascii="Arial" w:hAnsi="Arial" w:cs="Arial"/>
        </w:rPr>
      </w:pPr>
      <w:r>
        <w:rPr>
          <w:rFonts w:ascii="Arial" w:hAnsi="Arial" w:cs="Arial"/>
          <w:b/>
          <w:i/>
        </w:rPr>
        <w:t xml:space="preserve"> </w:t>
      </w:r>
      <w:r w:rsidRPr="000C3B90">
        <w:rPr>
          <w:rFonts w:ascii="Arial" w:hAnsi="Arial" w:cs="Arial"/>
          <w:b/>
        </w:rPr>
        <w:t>Rule 1</w:t>
      </w:r>
      <w:r>
        <w:rPr>
          <w:rFonts w:ascii="Arial" w:hAnsi="Arial" w:cs="Arial"/>
          <w:b/>
        </w:rPr>
        <w:t xml:space="preserve">2 : </w:t>
      </w:r>
    </w:p>
    <w:p w:rsidR="00165FB9" w:rsidRPr="00476AF2" w:rsidRDefault="00165FB9" w:rsidP="00165FB9">
      <w:pPr>
        <w:pStyle w:val="ListParagraph"/>
        <w:numPr>
          <w:ilvl w:val="0"/>
          <w:numId w:val="5"/>
        </w:numPr>
        <w:spacing w:before="120" w:after="180" w:line="360" w:lineRule="auto"/>
        <w:contextualSpacing w:val="0"/>
        <w:rPr>
          <w:rFonts w:ascii="Arial" w:hAnsi="Arial" w:cs="Arial"/>
        </w:rPr>
      </w:pPr>
      <w:r w:rsidRPr="0022341A">
        <w:rPr>
          <w:rFonts w:ascii="Arial" w:hAnsi="Arial" w:cs="Arial"/>
          <w:b/>
          <w:i/>
        </w:rPr>
        <w:t>Rule 12(1)</w:t>
      </w:r>
      <w:r>
        <w:rPr>
          <w:rFonts w:ascii="Arial" w:hAnsi="Arial" w:cs="Arial"/>
          <w:b/>
        </w:rPr>
        <w:t xml:space="preserve"> : </w:t>
      </w:r>
      <w:r w:rsidRPr="00476AF2">
        <w:rPr>
          <w:rFonts w:ascii="Arial" w:hAnsi="Arial" w:cs="Arial"/>
        </w:rPr>
        <w:t xml:space="preserve">The matter </w:t>
      </w:r>
      <w:r>
        <w:rPr>
          <w:rFonts w:ascii="Arial" w:hAnsi="Arial" w:cs="Arial"/>
        </w:rPr>
        <w:t xml:space="preserve">pertaining to </w:t>
      </w:r>
      <w:r w:rsidRPr="00476AF2">
        <w:rPr>
          <w:rFonts w:ascii="Arial" w:hAnsi="Arial" w:cs="Arial"/>
        </w:rPr>
        <w:t>withdrawal of appeal</w:t>
      </w:r>
      <w:r>
        <w:rPr>
          <w:rFonts w:ascii="Arial" w:hAnsi="Arial" w:cs="Arial"/>
        </w:rPr>
        <w:t xml:space="preserve"> which has finally been heard but not decided may be left to the discretion of the concerned Commissioner as such matter is sub-judice before the Commissioner and he has full discretion in the matter till it is decided. T</w:t>
      </w:r>
      <w:r w:rsidRPr="0022341A">
        <w:rPr>
          <w:rFonts w:ascii="Arial" w:hAnsi="Arial" w:cs="Arial"/>
        </w:rPr>
        <w:t>herefore</w:t>
      </w:r>
      <w:r>
        <w:rPr>
          <w:rFonts w:ascii="Arial" w:hAnsi="Arial" w:cs="Arial"/>
        </w:rPr>
        <w:t>, the words “</w:t>
      </w:r>
      <w:r w:rsidRPr="0022341A">
        <w:rPr>
          <w:rFonts w:ascii="Arial" w:hAnsi="Arial" w:cs="Arial"/>
          <w:b/>
        </w:rPr>
        <w:t>the matter has been finally heard or</w:t>
      </w:r>
      <w:r>
        <w:rPr>
          <w:rFonts w:ascii="Arial" w:hAnsi="Arial" w:cs="Arial"/>
        </w:rPr>
        <w:t>” as appearing in proposed Rule 12(1) may be deleted.</w:t>
      </w:r>
    </w:p>
    <w:p w:rsidR="00165FB9" w:rsidRDefault="00165FB9" w:rsidP="00165FB9">
      <w:pPr>
        <w:pStyle w:val="ListParagraph"/>
        <w:numPr>
          <w:ilvl w:val="0"/>
          <w:numId w:val="5"/>
        </w:numPr>
        <w:spacing w:before="120" w:after="180" w:line="360" w:lineRule="auto"/>
        <w:contextualSpacing w:val="0"/>
        <w:rPr>
          <w:rFonts w:ascii="Arial" w:hAnsi="Arial" w:cs="Arial"/>
        </w:rPr>
      </w:pPr>
      <w:r w:rsidRPr="0022341A">
        <w:rPr>
          <w:rFonts w:ascii="Arial" w:hAnsi="Arial" w:cs="Arial"/>
          <w:b/>
          <w:i/>
        </w:rPr>
        <w:t>Rule 12(2) - Abatement of appeal</w:t>
      </w:r>
      <w:r w:rsidRPr="0022341A">
        <w:rPr>
          <w:rFonts w:ascii="Arial" w:hAnsi="Arial" w:cs="Arial"/>
          <w:b/>
          <w:i/>
          <w:sz w:val="22"/>
        </w:rPr>
        <w:t xml:space="preserve"> </w:t>
      </w:r>
      <w:r w:rsidRPr="0022341A">
        <w:rPr>
          <w:rFonts w:ascii="Arial" w:hAnsi="Arial" w:cs="Arial"/>
          <w:b/>
          <w:i/>
        </w:rPr>
        <w:t xml:space="preserve">on </w:t>
      </w:r>
      <w:r>
        <w:rPr>
          <w:rFonts w:ascii="Arial" w:hAnsi="Arial" w:cs="Arial"/>
          <w:b/>
          <w:i/>
        </w:rPr>
        <w:t xml:space="preserve">the </w:t>
      </w:r>
      <w:r w:rsidRPr="0022341A">
        <w:rPr>
          <w:rFonts w:ascii="Arial" w:hAnsi="Arial" w:cs="Arial"/>
          <w:b/>
          <w:i/>
        </w:rPr>
        <w:t>death of appellant</w:t>
      </w:r>
      <w:r w:rsidRPr="0022341A">
        <w:rPr>
          <w:rFonts w:ascii="Arial" w:hAnsi="Arial" w:cs="Arial"/>
          <w:b/>
        </w:rPr>
        <w:t xml:space="preserve"> – </w:t>
      </w:r>
      <w:r w:rsidRPr="0022341A">
        <w:rPr>
          <w:rFonts w:ascii="Arial" w:hAnsi="Arial" w:cs="Arial"/>
        </w:rPr>
        <w:t xml:space="preserve">There are continuous media reports </w:t>
      </w:r>
      <w:r>
        <w:rPr>
          <w:rFonts w:ascii="Arial" w:hAnsi="Arial" w:cs="Arial"/>
        </w:rPr>
        <w:t xml:space="preserve">about the </w:t>
      </w:r>
      <w:r w:rsidRPr="0022341A">
        <w:rPr>
          <w:rFonts w:ascii="Arial" w:hAnsi="Arial" w:cs="Arial"/>
        </w:rPr>
        <w:t>murder and attack on the information seekers. Many a time, the information sought is against the misdeeds of the mafias or those indulging in the activities against the society including white collar crime</w:t>
      </w:r>
      <w:r>
        <w:rPr>
          <w:rFonts w:ascii="Arial" w:hAnsi="Arial" w:cs="Arial"/>
        </w:rPr>
        <w:t>s</w:t>
      </w:r>
      <w:r w:rsidRPr="0022341A">
        <w:rPr>
          <w:rFonts w:ascii="Arial" w:hAnsi="Arial" w:cs="Arial"/>
        </w:rPr>
        <w:t xml:space="preserve">, therefore, the provisions of </w:t>
      </w:r>
      <w:r>
        <w:rPr>
          <w:rFonts w:ascii="Arial" w:hAnsi="Arial" w:cs="Arial"/>
        </w:rPr>
        <w:t xml:space="preserve">proposed </w:t>
      </w:r>
      <w:r w:rsidRPr="0022341A">
        <w:rPr>
          <w:rFonts w:ascii="Arial" w:hAnsi="Arial" w:cs="Arial"/>
        </w:rPr>
        <w:t>Rule 12(2) can provide incentive for elimination of the information seeker. In this respect, the CIC in full court meeting held on 13-9-2011, passed the following Resolution :</w:t>
      </w:r>
    </w:p>
    <w:p w:rsidR="00165FB9" w:rsidRPr="00B318D3" w:rsidRDefault="00165FB9" w:rsidP="00165FB9">
      <w:pPr>
        <w:pStyle w:val="ListParagraph"/>
        <w:spacing w:before="120" w:after="180" w:line="312" w:lineRule="auto"/>
        <w:ind w:left="1440" w:firstLine="720"/>
        <w:contextualSpacing w:val="0"/>
        <w:rPr>
          <w:rFonts w:ascii="Arial" w:hAnsi="Arial" w:cs="Arial"/>
          <w:i/>
        </w:rPr>
      </w:pPr>
      <w:r w:rsidRPr="00B318D3">
        <w:rPr>
          <w:rFonts w:ascii="Arial" w:hAnsi="Arial" w:cs="Arial"/>
          <w:i/>
        </w:rPr>
        <w:t xml:space="preserve">“The Central Information Commission expresses regret and takes note of the reported killings of and assault on the RTI users across the country. The Commission underlines the need to take urgent steps by the respective Governments for the safety and protection of the RTI users. The Commission strongly believes that it is the duty and responsibility of the respective Governments to safeguard the life and liberty of the RTI users for which purpose they should invoke the relevant penal provisions for the prevention and detection of such heinous crimes. </w:t>
      </w:r>
    </w:p>
    <w:p w:rsidR="00165FB9" w:rsidRPr="00B318D3" w:rsidRDefault="00165FB9" w:rsidP="00165FB9">
      <w:pPr>
        <w:pStyle w:val="ListParagraph"/>
        <w:spacing w:before="120" w:after="180" w:line="312" w:lineRule="auto"/>
        <w:ind w:left="1440" w:firstLine="720"/>
        <w:contextualSpacing w:val="0"/>
        <w:rPr>
          <w:rFonts w:ascii="Arial" w:hAnsi="Arial" w:cs="Arial"/>
          <w:i/>
        </w:rPr>
      </w:pPr>
      <w:r w:rsidRPr="00B318D3">
        <w:rPr>
          <w:rFonts w:ascii="Arial" w:hAnsi="Arial" w:cs="Arial"/>
          <w:i/>
        </w:rPr>
        <w:t xml:space="preserve">2. This Commission, therefore, resolves that if it receives a complaint regarding assault or murder of an information seeker, it will examine the pending RTI applications of the victim and order the concerned Department(s) to publish the requested information suo motu on their website as per the provisions of law. </w:t>
      </w:r>
    </w:p>
    <w:p w:rsidR="00165FB9" w:rsidRDefault="00165FB9" w:rsidP="00165FB9">
      <w:pPr>
        <w:pStyle w:val="ListParagraph"/>
        <w:spacing w:before="120" w:after="180" w:line="312" w:lineRule="auto"/>
        <w:ind w:left="1440" w:firstLine="720"/>
        <w:contextualSpacing w:val="0"/>
        <w:rPr>
          <w:rFonts w:ascii="Arial" w:hAnsi="Arial" w:cs="Arial"/>
          <w:i/>
        </w:rPr>
      </w:pPr>
      <w:r w:rsidRPr="00B318D3">
        <w:rPr>
          <w:rFonts w:ascii="Arial" w:hAnsi="Arial" w:cs="Arial"/>
          <w:i/>
        </w:rPr>
        <w:lastRenderedPageBreak/>
        <w:t>3. This Commission also resolves that it will take proactive steps in ascertaining the status of investigations/prosecutions of the cases involving information seekers and endeavor to have these processes expedited.”</w:t>
      </w:r>
    </w:p>
    <w:p w:rsidR="00165FB9" w:rsidRDefault="00165FB9" w:rsidP="00165FB9">
      <w:pPr>
        <w:pStyle w:val="ListParagraph"/>
        <w:spacing w:before="120" w:after="180" w:line="360" w:lineRule="auto"/>
        <w:contextualSpacing w:val="0"/>
        <w:rPr>
          <w:rFonts w:ascii="Arial" w:hAnsi="Arial" w:cs="Arial"/>
        </w:rPr>
      </w:pPr>
      <w:r>
        <w:rPr>
          <w:rFonts w:ascii="Arial" w:hAnsi="Arial" w:cs="Arial"/>
        </w:rPr>
        <w:t xml:space="preserve">The proposed Rule 12(2) thus needs to be suitably modified to provide that in the case of death of </w:t>
      </w:r>
      <w:r w:rsidRPr="00773949">
        <w:rPr>
          <w:rFonts w:ascii="Arial" w:hAnsi="Arial" w:cs="Arial"/>
        </w:rPr>
        <w:t>information</w:t>
      </w:r>
      <w:r>
        <w:rPr>
          <w:rFonts w:ascii="Arial" w:hAnsi="Arial" w:cs="Arial"/>
        </w:rPr>
        <w:t xml:space="preserve"> seeker who has sought </w:t>
      </w:r>
      <w:r w:rsidRPr="00773949">
        <w:rPr>
          <w:rFonts w:ascii="Arial" w:hAnsi="Arial" w:cs="Arial"/>
        </w:rPr>
        <w:t>information</w:t>
      </w:r>
      <w:r>
        <w:rPr>
          <w:rFonts w:ascii="Arial" w:hAnsi="Arial" w:cs="Arial"/>
        </w:rPr>
        <w:t xml:space="preserve"> in </w:t>
      </w:r>
      <w:r w:rsidRPr="00773949">
        <w:rPr>
          <w:rFonts w:ascii="Arial" w:hAnsi="Arial" w:cs="Arial"/>
        </w:rPr>
        <w:t>larger public interest</w:t>
      </w:r>
      <w:r>
        <w:rPr>
          <w:rFonts w:ascii="Arial" w:hAnsi="Arial" w:cs="Arial"/>
        </w:rPr>
        <w:t xml:space="preserve"> or against the corrupt practices, such </w:t>
      </w:r>
      <w:r w:rsidRPr="00773949">
        <w:rPr>
          <w:rFonts w:ascii="Arial" w:hAnsi="Arial" w:cs="Arial"/>
        </w:rPr>
        <w:t>information</w:t>
      </w:r>
      <w:r>
        <w:rPr>
          <w:rFonts w:ascii="Arial" w:hAnsi="Arial" w:cs="Arial"/>
        </w:rPr>
        <w:t xml:space="preserve"> may be directed to be placed on the website of the concerned Department despite the death of the </w:t>
      </w:r>
      <w:r w:rsidRPr="00F44BE9">
        <w:rPr>
          <w:rFonts w:ascii="Arial" w:hAnsi="Arial" w:cs="Arial"/>
        </w:rPr>
        <w:t>appellant</w:t>
      </w:r>
      <w:r>
        <w:rPr>
          <w:rFonts w:ascii="Arial" w:hAnsi="Arial" w:cs="Arial"/>
        </w:rPr>
        <w:t xml:space="preserve"> so that the purpose of silencing the </w:t>
      </w:r>
      <w:r w:rsidRPr="00773949">
        <w:rPr>
          <w:rFonts w:ascii="Arial" w:hAnsi="Arial" w:cs="Arial"/>
        </w:rPr>
        <w:t>information</w:t>
      </w:r>
      <w:r>
        <w:rPr>
          <w:rFonts w:ascii="Arial" w:hAnsi="Arial" w:cs="Arial"/>
        </w:rPr>
        <w:t xml:space="preserve"> seeker is defeated. </w:t>
      </w:r>
    </w:p>
    <w:p w:rsidR="00165FB9" w:rsidRDefault="00165FB9" w:rsidP="00165FB9">
      <w:pPr>
        <w:pStyle w:val="ListParagraph"/>
        <w:spacing w:before="120" w:after="180" w:line="360" w:lineRule="auto"/>
        <w:contextualSpacing w:val="0"/>
        <w:rPr>
          <w:rFonts w:ascii="Arial" w:hAnsi="Arial" w:cs="Arial"/>
        </w:rPr>
      </w:pPr>
    </w:p>
    <w:p w:rsidR="00165FB9" w:rsidRPr="00110B04" w:rsidRDefault="00165FB9" w:rsidP="00165FB9">
      <w:pPr>
        <w:pStyle w:val="ListParagraph"/>
        <w:numPr>
          <w:ilvl w:val="0"/>
          <w:numId w:val="1"/>
        </w:numPr>
        <w:spacing w:before="120" w:after="180" w:line="360" w:lineRule="auto"/>
        <w:ind w:hanging="357"/>
        <w:contextualSpacing w:val="0"/>
        <w:rPr>
          <w:rFonts w:ascii="Arial" w:hAnsi="Arial" w:cs="Arial"/>
        </w:rPr>
      </w:pPr>
      <w:r w:rsidRPr="00110B04">
        <w:rPr>
          <w:rFonts w:ascii="Arial" w:hAnsi="Arial" w:cs="Arial"/>
          <w:b/>
        </w:rPr>
        <w:t>Rule 13</w:t>
      </w:r>
    </w:p>
    <w:p w:rsidR="00165FB9" w:rsidRDefault="00165FB9" w:rsidP="00165FB9">
      <w:pPr>
        <w:pStyle w:val="ListParagraph"/>
        <w:numPr>
          <w:ilvl w:val="0"/>
          <w:numId w:val="6"/>
        </w:numPr>
        <w:spacing w:before="120" w:after="180" w:line="360" w:lineRule="auto"/>
        <w:ind w:hanging="357"/>
        <w:contextualSpacing w:val="0"/>
        <w:rPr>
          <w:rFonts w:ascii="Arial" w:hAnsi="Arial" w:cs="Arial"/>
        </w:rPr>
      </w:pPr>
      <w:r>
        <w:rPr>
          <w:rFonts w:ascii="Arial" w:hAnsi="Arial" w:cs="Arial"/>
          <w:b/>
        </w:rPr>
        <w:t xml:space="preserve">Rule 13(1)(i) – </w:t>
      </w:r>
      <w:r>
        <w:rPr>
          <w:rFonts w:ascii="Arial" w:hAnsi="Arial" w:cs="Arial"/>
        </w:rPr>
        <w:t xml:space="preserve">A complaint under section 18(1)(a) can be made against the non appointment of a </w:t>
      </w:r>
      <w:r w:rsidRPr="001204C6">
        <w:rPr>
          <w:rFonts w:ascii="Arial" w:hAnsi="Arial" w:cs="Arial"/>
        </w:rPr>
        <w:t>CPIO</w:t>
      </w:r>
      <w:r>
        <w:rPr>
          <w:rFonts w:ascii="Arial" w:hAnsi="Arial" w:cs="Arial"/>
        </w:rPr>
        <w:t xml:space="preserve"> or non appointment of the </w:t>
      </w:r>
      <w:r w:rsidRPr="001A3DB4">
        <w:rPr>
          <w:rFonts w:ascii="Arial" w:hAnsi="Arial" w:cs="Arial"/>
        </w:rPr>
        <w:t>First Appellate Authority</w:t>
      </w:r>
      <w:r>
        <w:rPr>
          <w:rFonts w:ascii="Arial" w:hAnsi="Arial" w:cs="Arial"/>
        </w:rPr>
        <w:t xml:space="preserve">. In such cases, the question of filing any </w:t>
      </w:r>
      <w:r w:rsidRPr="00ED5590">
        <w:rPr>
          <w:rFonts w:ascii="Arial" w:hAnsi="Arial" w:cs="Arial"/>
        </w:rPr>
        <w:t>RTI Application</w:t>
      </w:r>
      <w:r>
        <w:rPr>
          <w:rFonts w:ascii="Arial" w:hAnsi="Arial" w:cs="Arial"/>
        </w:rPr>
        <w:t xml:space="preserve"> does not arise, </w:t>
      </w:r>
      <w:r w:rsidRPr="00ED5590">
        <w:rPr>
          <w:rFonts w:ascii="Arial" w:hAnsi="Arial" w:cs="Arial"/>
        </w:rPr>
        <w:t>therefore</w:t>
      </w:r>
      <w:r>
        <w:rPr>
          <w:rFonts w:ascii="Arial" w:hAnsi="Arial" w:cs="Arial"/>
        </w:rPr>
        <w:t xml:space="preserve"> in proposed Rule 13(1)(i), the words “</w:t>
      </w:r>
      <w:r w:rsidRPr="00ED5590">
        <w:rPr>
          <w:rFonts w:ascii="Arial" w:hAnsi="Arial" w:cs="Arial"/>
          <w:b/>
        </w:rPr>
        <w:t>,i</w:t>
      </w:r>
      <w:r>
        <w:rPr>
          <w:rFonts w:ascii="Arial" w:hAnsi="Arial" w:cs="Arial"/>
          <w:b/>
        </w:rPr>
        <w:t xml:space="preserve">f any” </w:t>
      </w:r>
      <w:r w:rsidRPr="00ED5590">
        <w:rPr>
          <w:rFonts w:ascii="Arial" w:hAnsi="Arial" w:cs="Arial"/>
        </w:rPr>
        <w:t>may be added</w:t>
      </w:r>
      <w:r>
        <w:rPr>
          <w:rFonts w:ascii="Arial" w:hAnsi="Arial" w:cs="Arial"/>
        </w:rPr>
        <w:t xml:space="preserve"> at the end. This is necessary because the word “</w:t>
      </w:r>
      <w:r w:rsidRPr="004561B7">
        <w:rPr>
          <w:rFonts w:ascii="Arial" w:hAnsi="Arial" w:cs="Arial"/>
          <w:b/>
        </w:rPr>
        <w:t>shall</w:t>
      </w:r>
      <w:r>
        <w:rPr>
          <w:rFonts w:ascii="Arial" w:hAnsi="Arial" w:cs="Arial"/>
        </w:rPr>
        <w:t xml:space="preserve">” has been used in sub-section (1) making the filing of specific documents including </w:t>
      </w:r>
      <w:r w:rsidRPr="00B62918">
        <w:rPr>
          <w:rFonts w:ascii="Arial" w:hAnsi="Arial" w:cs="Arial"/>
        </w:rPr>
        <w:t>RTI Application</w:t>
      </w:r>
      <w:r>
        <w:rPr>
          <w:rFonts w:ascii="Arial" w:hAnsi="Arial" w:cs="Arial"/>
        </w:rPr>
        <w:t xml:space="preserve"> as mandatory.</w:t>
      </w:r>
    </w:p>
    <w:p w:rsidR="00165FB9" w:rsidRDefault="00165FB9" w:rsidP="00165FB9">
      <w:pPr>
        <w:pStyle w:val="ListParagraph"/>
        <w:numPr>
          <w:ilvl w:val="0"/>
          <w:numId w:val="6"/>
        </w:numPr>
        <w:spacing w:before="120" w:after="180" w:line="360" w:lineRule="auto"/>
        <w:ind w:hanging="357"/>
        <w:contextualSpacing w:val="0"/>
        <w:rPr>
          <w:rFonts w:ascii="Arial" w:hAnsi="Arial" w:cs="Arial"/>
        </w:rPr>
      </w:pPr>
      <w:r w:rsidRPr="00FA314B">
        <w:rPr>
          <w:rFonts w:ascii="Arial" w:hAnsi="Arial" w:cs="Arial"/>
          <w:b/>
          <w:i/>
        </w:rPr>
        <w:t xml:space="preserve">Rule 13(1)(iv) </w:t>
      </w:r>
      <w:r>
        <w:rPr>
          <w:rFonts w:ascii="Arial" w:hAnsi="Arial" w:cs="Arial"/>
          <w:b/>
          <w:i/>
        </w:rPr>
        <w:t>u</w:t>
      </w:r>
      <w:r w:rsidRPr="00FA314B">
        <w:rPr>
          <w:rFonts w:ascii="Arial" w:hAnsi="Arial" w:cs="Arial"/>
          <w:b/>
          <w:i/>
        </w:rPr>
        <w:t xml:space="preserve">ltra </w:t>
      </w:r>
      <w:r>
        <w:rPr>
          <w:rFonts w:ascii="Arial" w:hAnsi="Arial" w:cs="Arial"/>
          <w:b/>
          <w:i/>
        </w:rPr>
        <w:t>v</w:t>
      </w:r>
      <w:r w:rsidRPr="00FA314B">
        <w:rPr>
          <w:rFonts w:ascii="Arial" w:hAnsi="Arial" w:cs="Arial"/>
          <w:b/>
          <w:i/>
        </w:rPr>
        <w:t>ires the provisions of Section 18 of the RTI Act</w:t>
      </w:r>
      <w:r>
        <w:rPr>
          <w:rFonts w:ascii="Arial" w:hAnsi="Arial" w:cs="Arial"/>
          <w:b/>
          <w:i/>
        </w:rPr>
        <w:t xml:space="preserve">- </w:t>
      </w:r>
      <w:r w:rsidRPr="006E1C4F">
        <w:rPr>
          <w:rFonts w:ascii="Arial" w:hAnsi="Arial" w:cs="Arial"/>
          <w:b/>
          <w:i/>
        </w:rPr>
        <w:t xml:space="preserve">Prescribing of time limit for filing complaint beyond rule making powers </w:t>
      </w:r>
      <w:r>
        <w:rPr>
          <w:rFonts w:ascii="Arial" w:hAnsi="Arial" w:cs="Arial"/>
          <w:b/>
        </w:rPr>
        <w:t xml:space="preserve">- </w:t>
      </w:r>
      <w:r w:rsidRPr="00FF2D0C">
        <w:rPr>
          <w:rFonts w:ascii="Arial" w:hAnsi="Arial" w:cs="Arial"/>
        </w:rPr>
        <w:t>Th</w:t>
      </w:r>
      <w:r>
        <w:rPr>
          <w:rFonts w:ascii="Arial" w:hAnsi="Arial" w:cs="Arial"/>
        </w:rPr>
        <w:t xml:space="preserve">ere is no provisions under the RTI Act which prescribes any time-limit for filing complaint under section 18 </w:t>
      </w:r>
      <w:r w:rsidRPr="00FF2D0C">
        <w:rPr>
          <w:rFonts w:ascii="Arial" w:hAnsi="Arial" w:cs="Arial"/>
        </w:rPr>
        <w:t>of the RTI Act</w:t>
      </w:r>
      <w:r>
        <w:rPr>
          <w:rFonts w:ascii="Arial" w:hAnsi="Arial" w:cs="Arial"/>
        </w:rPr>
        <w:t xml:space="preserve">. Even the said section 18 does not have any inking about any time limit within which a complaint is required to be filed, </w:t>
      </w:r>
      <w:r w:rsidRPr="00795BF7">
        <w:rPr>
          <w:rFonts w:ascii="Arial" w:hAnsi="Arial" w:cs="Arial"/>
        </w:rPr>
        <w:t>therefore</w:t>
      </w:r>
      <w:r>
        <w:rPr>
          <w:rFonts w:ascii="Arial" w:hAnsi="Arial" w:cs="Arial"/>
        </w:rPr>
        <w:t xml:space="preserve"> the provisions of clause (iv) of sub rule (1) of Rule 13 of proposed RTI Rules, 2017 insofar as they provide time limit for filing complaint, are </w:t>
      </w:r>
      <w:r w:rsidRPr="00795BF7">
        <w:rPr>
          <w:rFonts w:ascii="Arial" w:hAnsi="Arial" w:cs="Arial"/>
          <w:i/>
        </w:rPr>
        <w:t>ultra vires</w:t>
      </w:r>
      <w:r>
        <w:rPr>
          <w:rFonts w:ascii="Arial" w:hAnsi="Arial" w:cs="Arial"/>
        </w:rPr>
        <w:t xml:space="preserve"> the provisions of the RTI Act. The </w:t>
      </w:r>
      <w:r w:rsidRPr="00CB4A82">
        <w:rPr>
          <w:rFonts w:ascii="Arial" w:hAnsi="Arial" w:cs="Arial"/>
        </w:rPr>
        <w:t>Hon’ble</w:t>
      </w:r>
      <w:r>
        <w:rPr>
          <w:rFonts w:ascii="Arial" w:hAnsi="Arial" w:cs="Arial"/>
        </w:rPr>
        <w:t xml:space="preserve"> </w:t>
      </w:r>
      <w:r w:rsidRPr="0050013F">
        <w:rPr>
          <w:rFonts w:ascii="Arial" w:hAnsi="Arial" w:cs="Arial"/>
        </w:rPr>
        <w:t>Supreme Court</w:t>
      </w:r>
      <w:r>
        <w:rPr>
          <w:rFonts w:ascii="Arial" w:hAnsi="Arial" w:cs="Arial"/>
        </w:rPr>
        <w:t xml:space="preserve"> in series of decisions on this issue has held that the Rules being subordinate to the parent Act, cannot prescribe for anything beyond the provisions of the Act. The Parliament in its wisdom has prescribed a time-limit of 90 days in section 19 for filing an appeal but no such time-limit is prescribed by the Parliament for filing a </w:t>
      </w:r>
      <w:r>
        <w:rPr>
          <w:rFonts w:ascii="Arial" w:hAnsi="Arial" w:cs="Arial"/>
        </w:rPr>
        <w:lastRenderedPageBreak/>
        <w:t xml:space="preserve">complaint under section 18 </w:t>
      </w:r>
      <w:r w:rsidRPr="00560D37">
        <w:rPr>
          <w:rFonts w:ascii="Arial" w:hAnsi="Arial" w:cs="Arial"/>
        </w:rPr>
        <w:t>of the RTI Act</w:t>
      </w:r>
      <w:r>
        <w:rPr>
          <w:rFonts w:ascii="Arial" w:hAnsi="Arial" w:cs="Arial"/>
        </w:rPr>
        <w:t xml:space="preserve">. The Central </w:t>
      </w:r>
      <w:r w:rsidRPr="00560D37">
        <w:rPr>
          <w:rFonts w:ascii="Arial" w:hAnsi="Arial" w:cs="Arial"/>
        </w:rPr>
        <w:t>Government</w:t>
      </w:r>
      <w:r>
        <w:rPr>
          <w:rFonts w:ascii="Arial" w:hAnsi="Arial" w:cs="Arial"/>
        </w:rPr>
        <w:t xml:space="preserve"> in exercise of rule making power cannot prescribe a time limit which was </w:t>
      </w:r>
      <w:r w:rsidRPr="00560D37">
        <w:rPr>
          <w:rFonts w:ascii="Arial" w:hAnsi="Arial" w:cs="Arial"/>
        </w:rPr>
        <w:t>deliberate</w:t>
      </w:r>
      <w:r>
        <w:rPr>
          <w:rFonts w:ascii="Arial" w:hAnsi="Arial" w:cs="Arial"/>
        </w:rPr>
        <w:t xml:space="preserve">ly not provided by the Parliament in section 18 </w:t>
      </w:r>
      <w:r w:rsidRPr="00C11DC0">
        <w:rPr>
          <w:rFonts w:ascii="Arial" w:hAnsi="Arial" w:cs="Arial"/>
        </w:rPr>
        <w:t>of the RTI Act</w:t>
      </w:r>
      <w:r>
        <w:rPr>
          <w:rFonts w:ascii="Arial" w:hAnsi="Arial" w:cs="Arial"/>
        </w:rPr>
        <w:t>.</w:t>
      </w:r>
    </w:p>
    <w:p w:rsidR="00165FB9" w:rsidRDefault="00165FB9" w:rsidP="00165FB9">
      <w:pPr>
        <w:pStyle w:val="ListParagraph"/>
        <w:spacing w:before="120" w:after="180" w:line="360" w:lineRule="auto"/>
        <w:ind w:left="1080" w:firstLine="360"/>
        <w:contextualSpacing w:val="0"/>
        <w:rPr>
          <w:rFonts w:ascii="Arial" w:hAnsi="Arial" w:cs="Arial"/>
        </w:rPr>
      </w:pPr>
      <w:r w:rsidRPr="00D53DDE">
        <w:rPr>
          <w:rFonts w:ascii="Arial" w:hAnsi="Arial" w:cs="Arial"/>
        </w:rPr>
        <w:t>The</w:t>
      </w:r>
      <w:r>
        <w:rPr>
          <w:rFonts w:ascii="Arial" w:hAnsi="Arial" w:cs="Arial"/>
        </w:rPr>
        <w:t xml:space="preserve"> provisions of proposed Rule 13(1)(iv) are also not practical since as per the provisions of section 5 of the RTI Act, every </w:t>
      </w:r>
      <w:r w:rsidRPr="00C50246">
        <w:rPr>
          <w:rFonts w:ascii="Arial" w:hAnsi="Arial" w:cs="Arial"/>
        </w:rPr>
        <w:t>Public Authority</w:t>
      </w:r>
      <w:r>
        <w:rPr>
          <w:rFonts w:ascii="Arial" w:hAnsi="Arial" w:cs="Arial"/>
        </w:rPr>
        <w:t xml:space="preserve"> has to appoint PIO/</w:t>
      </w:r>
      <w:r w:rsidRPr="00C50246">
        <w:rPr>
          <w:rFonts w:ascii="Arial" w:hAnsi="Arial" w:cs="Arial"/>
        </w:rPr>
        <w:t>CPIO</w:t>
      </w:r>
      <w:r>
        <w:rPr>
          <w:rFonts w:ascii="Arial" w:hAnsi="Arial" w:cs="Arial"/>
        </w:rPr>
        <w:t xml:space="preserve"> within 120 days of the enactment </w:t>
      </w:r>
      <w:r w:rsidRPr="00C50246">
        <w:rPr>
          <w:rFonts w:ascii="Arial" w:hAnsi="Arial" w:cs="Arial"/>
        </w:rPr>
        <w:t>of the RTI Act</w:t>
      </w:r>
      <w:r w:rsidRPr="00D53DDE">
        <w:rPr>
          <w:rFonts w:ascii="Arial" w:hAnsi="Arial" w:cs="Arial"/>
        </w:rPr>
        <w:t xml:space="preserve"> </w:t>
      </w:r>
      <w:r>
        <w:rPr>
          <w:rFonts w:ascii="Arial" w:hAnsi="Arial" w:cs="Arial"/>
        </w:rPr>
        <w:t xml:space="preserve">i.e. 15-10-2005 and in case, any </w:t>
      </w:r>
      <w:r w:rsidRPr="006023F9">
        <w:rPr>
          <w:rFonts w:ascii="Arial" w:hAnsi="Arial" w:cs="Arial"/>
        </w:rPr>
        <w:t>Public Authority</w:t>
      </w:r>
      <w:r>
        <w:rPr>
          <w:rFonts w:ascii="Arial" w:hAnsi="Arial" w:cs="Arial"/>
        </w:rPr>
        <w:t xml:space="preserve"> has not appointed a PIO/</w:t>
      </w:r>
      <w:r w:rsidRPr="006023F9">
        <w:rPr>
          <w:rFonts w:ascii="Arial" w:hAnsi="Arial" w:cs="Arial"/>
        </w:rPr>
        <w:t>CPIO</w:t>
      </w:r>
      <w:r>
        <w:rPr>
          <w:rFonts w:ascii="Arial" w:hAnsi="Arial" w:cs="Arial"/>
        </w:rPr>
        <w:t xml:space="preserve"> within the said 120 days then the complaint under the proposed Rules, can only be filed by 16-5-2006 as the cause of action for filing a complaint against non appointment of CPIO in all cases had arisen on 15-2-2006. </w:t>
      </w:r>
      <w:r w:rsidRPr="00517B60">
        <w:rPr>
          <w:rFonts w:ascii="Arial" w:hAnsi="Arial" w:cs="Arial"/>
          <w:b/>
        </w:rPr>
        <w:t>The time-limit</w:t>
      </w:r>
      <w:r>
        <w:rPr>
          <w:rFonts w:ascii="Arial" w:hAnsi="Arial" w:cs="Arial"/>
          <w:b/>
        </w:rPr>
        <w:t xml:space="preserve"> provided in the </w:t>
      </w:r>
      <w:r w:rsidRPr="00517B60">
        <w:rPr>
          <w:rFonts w:ascii="Arial" w:hAnsi="Arial" w:cs="Arial"/>
          <w:b/>
        </w:rPr>
        <w:t>proposed</w:t>
      </w:r>
      <w:r>
        <w:rPr>
          <w:rFonts w:ascii="Arial" w:hAnsi="Arial" w:cs="Arial"/>
          <w:b/>
        </w:rPr>
        <w:t xml:space="preserve"> Rule 13(1)(iv) is </w:t>
      </w:r>
      <w:r w:rsidRPr="00517B60">
        <w:rPr>
          <w:rFonts w:ascii="Arial" w:hAnsi="Arial" w:cs="Arial"/>
          <w:b/>
        </w:rPr>
        <w:t>therefore</w:t>
      </w:r>
      <w:r>
        <w:rPr>
          <w:rFonts w:ascii="Arial" w:hAnsi="Arial" w:cs="Arial"/>
          <w:b/>
        </w:rPr>
        <w:t xml:space="preserve"> beyond the rule making power and contrary to the provisions </w:t>
      </w:r>
      <w:r w:rsidRPr="00517B60">
        <w:rPr>
          <w:rFonts w:ascii="Arial" w:hAnsi="Arial" w:cs="Arial"/>
          <w:b/>
        </w:rPr>
        <w:t>of the RTI Act</w:t>
      </w:r>
      <w:r>
        <w:rPr>
          <w:rFonts w:ascii="Arial" w:hAnsi="Arial" w:cs="Arial"/>
          <w:b/>
        </w:rPr>
        <w:t xml:space="preserve">, hence is </w:t>
      </w:r>
      <w:r w:rsidRPr="00042D3C">
        <w:rPr>
          <w:rFonts w:ascii="Arial" w:hAnsi="Arial" w:cs="Arial"/>
          <w:b/>
          <w:i/>
        </w:rPr>
        <w:t>ultra vires</w:t>
      </w:r>
      <w:r>
        <w:rPr>
          <w:rFonts w:ascii="Arial" w:hAnsi="Arial" w:cs="Arial"/>
          <w:b/>
        </w:rPr>
        <w:t xml:space="preserve"> the RTI Act and cannot withstand the test of validity, thus needs to be dropped.</w:t>
      </w:r>
    </w:p>
    <w:p w:rsidR="00165FB9" w:rsidRPr="009F472D" w:rsidRDefault="00165FB9" w:rsidP="00165FB9">
      <w:pPr>
        <w:pStyle w:val="ListParagraph"/>
        <w:numPr>
          <w:ilvl w:val="0"/>
          <w:numId w:val="6"/>
        </w:numPr>
        <w:spacing w:before="120" w:after="180" w:line="360" w:lineRule="auto"/>
        <w:contextualSpacing w:val="0"/>
        <w:rPr>
          <w:rFonts w:ascii="Arial" w:hAnsi="Arial" w:cs="Arial"/>
          <w:b/>
        </w:rPr>
      </w:pPr>
      <w:r w:rsidRPr="004558C3">
        <w:rPr>
          <w:rFonts w:ascii="Arial" w:hAnsi="Arial" w:cs="Arial"/>
          <w:b/>
          <w:i/>
        </w:rPr>
        <w:t>Rule 13(3)</w:t>
      </w:r>
      <w:r>
        <w:rPr>
          <w:rFonts w:ascii="Arial" w:hAnsi="Arial" w:cs="Arial"/>
          <w:b/>
          <w:i/>
        </w:rPr>
        <w:t xml:space="preserve"> is</w:t>
      </w:r>
      <w:r w:rsidRPr="004558C3">
        <w:rPr>
          <w:rFonts w:ascii="Arial" w:hAnsi="Arial" w:cs="Arial"/>
          <w:b/>
          <w:i/>
        </w:rPr>
        <w:t xml:space="preserve"> contradictory to the proviso</w:t>
      </w:r>
      <w:r>
        <w:rPr>
          <w:rFonts w:ascii="Arial" w:hAnsi="Arial" w:cs="Arial"/>
          <w:b/>
          <w:i/>
        </w:rPr>
        <w:t xml:space="preserve"> thereto – </w:t>
      </w:r>
      <w:r w:rsidRPr="003F17CD">
        <w:rPr>
          <w:rFonts w:ascii="Arial" w:hAnsi="Arial" w:cs="Arial"/>
        </w:rPr>
        <w:t>The</w:t>
      </w:r>
      <w:r>
        <w:rPr>
          <w:rFonts w:ascii="Arial" w:hAnsi="Arial" w:cs="Arial"/>
        </w:rPr>
        <w:t xml:space="preserve"> sub rule (3) of proposed Rule 13, talks about service of the copy of the complaint only on the CPIO whereas the proviso to the said sub-rule</w:t>
      </w:r>
      <w:r w:rsidRPr="003F17CD">
        <w:rPr>
          <w:rFonts w:ascii="Arial" w:hAnsi="Arial" w:cs="Arial"/>
        </w:rPr>
        <w:t xml:space="preserve"> refers to the F.A.A</w:t>
      </w:r>
      <w:r>
        <w:rPr>
          <w:rFonts w:ascii="Arial" w:hAnsi="Arial" w:cs="Arial"/>
        </w:rPr>
        <w:t xml:space="preserve"> besides the CPIO</w:t>
      </w:r>
      <w:r w:rsidRPr="003F17CD">
        <w:rPr>
          <w:rFonts w:ascii="Arial" w:hAnsi="Arial" w:cs="Arial"/>
        </w:rPr>
        <w:t>.</w:t>
      </w:r>
      <w:r>
        <w:rPr>
          <w:rFonts w:ascii="Arial" w:hAnsi="Arial" w:cs="Arial"/>
        </w:rPr>
        <w:t xml:space="preserve"> The proposed Rule 13(3) thus needs to be modified by providing for serving a copy of the complaint on all the </w:t>
      </w:r>
      <w:r w:rsidRPr="003F17CD">
        <w:rPr>
          <w:rFonts w:ascii="Arial" w:hAnsi="Arial" w:cs="Arial"/>
        </w:rPr>
        <w:t>respondents</w:t>
      </w:r>
      <w:r>
        <w:rPr>
          <w:rFonts w:ascii="Arial" w:hAnsi="Arial" w:cs="Arial"/>
        </w:rPr>
        <w:t xml:space="preserve"> specified in the complaint.</w:t>
      </w:r>
    </w:p>
    <w:p w:rsidR="00165FB9" w:rsidRPr="0022236F" w:rsidRDefault="00165FB9" w:rsidP="00165FB9">
      <w:pPr>
        <w:pStyle w:val="ListParagraph"/>
        <w:spacing w:before="120" w:after="180" w:line="360" w:lineRule="auto"/>
        <w:ind w:left="1080"/>
        <w:contextualSpacing w:val="0"/>
        <w:rPr>
          <w:rFonts w:ascii="Arial" w:hAnsi="Arial" w:cs="Arial"/>
          <w:b/>
        </w:rPr>
      </w:pPr>
    </w:p>
    <w:p w:rsidR="00165FB9" w:rsidRPr="006D47BD" w:rsidRDefault="00165FB9" w:rsidP="00165FB9">
      <w:pPr>
        <w:pStyle w:val="ListParagraph"/>
        <w:numPr>
          <w:ilvl w:val="0"/>
          <w:numId w:val="1"/>
        </w:numPr>
        <w:spacing w:before="120" w:after="180" w:line="360" w:lineRule="auto"/>
        <w:contextualSpacing w:val="0"/>
        <w:rPr>
          <w:rFonts w:ascii="Arial" w:hAnsi="Arial" w:cs="Arial"/>
          <w:b/>
        </w:rPr>
      </w:pPr>
      <w:r w:rsidRPr="0022236F">
        <w:rPr>
          <w:rFonts w:ascii="Arial" w:hAnsi="Arial" w:cs="Arial"/>
          <w:b/>
        </w:rPr>
        <w:t>Rule 14</w:t>
      </w:r>
      <w:r>
        <w:rPr>
          <w:rFonts w:ascii="Arial" w:hAnsi="Arial" w:cs="Arial"/>
          <w:b/>
        </w:rPr>
        <w:t xml:space="preserve"> – Defect Memo - </w:t>
      </w:r>
      <w:r w:rsidRPr="007A7206">
        <w:rPr>
          <w:rFonts w:ascii="Arial" w:hAnsi="Arial" w:cs="Arial"/>
        </w:rPr>
        <w:t>A suitable</w:t>
      </w:r>
      <w:r>
        <w:rPr>
          <w:rFonts w:ascii="Arial" w:hAnsi="Arial" w:cs="Arial"/>
        </w:rPr>
        <w:t xml:space="preserve"> proviso may be added to the proposed Rule 14 laying down that the defect memo to the complaints shall be issued within 15 days of the receipt of the complaint and in case, the </w:t>
      </w:r>
      <w:r w:rsidRPr="007A7206">
        <w:rPr>
          <w:rFonts w:ascii="Arial" w:hAnsi="Arial" w:cs="Arial"/>
        </w:rPr>
        <w:t>complainant</w:t>
      </w:r>
      <w:r>
        <w:rPr>
          <w:rFonts w:ascii="Arial" w:hAnsi="Arial" w:cs="Arial"/>
        </w:rPr>
        <w:t xml:space="preserve"> disputes the defect raised by the registry, the matter shall be placed before the concerned </w:t>
      </w:r>
      <w:r w:rsidRPr="007A7206">
        <w:rPr>
          <w:rFonts w:ascii="Arial" w:hAnsi="Arial" w:cs="Arial"/>
        </w:rPr>
        <w:t>Hon’ble</w:t>
      </w:r>
      <w:r>
        <w:rPr>
          <w:rFonts w:ascii="Arial" w:hAnsi="Arial" w:cs="Arial"/>
        </w:rPr>
        <w:t xml:space="preserve"> </w:t>
      </w:r>
      <w:r w:rsidRPr="007A7206">
        <w:rPr>
          <w:rFonts w:ascii="Arial" w:hAnsi="Arial" w:cs="Arial"/>
        </w:rPr>
        <w:t>Information Commissioner</w:t>
      </w:r>
      <w:r>
        <w:rPr>
          <w:rFonts w:ascii="Arial" w:hAnsi="Arial" w:cs="Arial"/>
        </w:rPr>
        <w:t>.</w:t>
      </w:r>
    </w:p>
    <w:p w:rsidR="00165FB9" w:rsidRDefault="00165FB9" w:rsidP="00165FB9">
      <w:pPr>
        <w:pStyle w:val="ListParagraph"/>
        <w:spacing w:before="120" w:after="180" w:line="360" w:lineRule="auto"/>
        <w:contextualSpacing w:val="0"/>
        <w:rPr>
          <w:rFonts w:ascii="Arial" w:hAnsi="Arial" w:cs="Arial"/>
          <w:b/>
        </w:rPr>
      </w:pPr>
    </w:p>
    <w:p w:rsidR="00165FB9" w:rsidRDefault="00165FB9" w:rsidP="00165FB9">
      <w:pPr>
        <w:pStyle w:val="ListParagraph"/>
        <w:numPr>
          <w:ilvl w:val="0"/>
          <w:numId w:val="1"/>
        </w:numPr>
        <w:spacing w:before="120" w:after="180" w:line="360" w:lineRule="auto"/>
        <w:contextualSpacing w:val="0"/>
        <w:rPr>
          <w:rFonts w:ascii="Arial" w:hAnsi="Arial" w:cs="Arial"/>
        </w:rPr>
      </w:pPr>
      <w:r w:rsidRPr="00062ED4">
        <w:rPr>
          <w:rFonts w:ascii="Arial" w:hAnsi="Arial" w:cs="Arial"/>
          <w:b/>
        </w:rPr>
        <w:t xml:space="preserve"> Rule 15 – </w:t>
      </w:r>
      <w:r w:rsidRPr="00062ED4">
        <w:rPr>
          <w:rFonts w:ascii="Arial" w:hAnsi="Arial" w:cs="Arial"/>
        </w:rPr>
        <w:t>Proposed</w:t>
      </w:r>
      <w:r w:rsidRPr="00062ED4">
        <w:rPr>
          <w:rFonts w:ascii="Arial" w:hAnsi="Arial" w:cs="Arial"/>
          <w:b/>
        </w:rPr>
        <w:t xml:space="preserve"> </w:t>
      </w:r>
      <w:r w:rsidRPr="00062ED4">
        <w:rPr>
          <w:rFonts w:ascii="Arial" w:hAnsi="Arial" w:cs="Arial"/>
        </w:rPr>
        <w:t>Rule 15 does not contains any provision for hearing the parties before deciding the complaint though there is a reference to “hearing” in clause (iv) of Rule 15 as well as in proposed Rule</w:t>
      </w:r>
      <w:r>
        <w:rPr>
          <w:rFonts w:ascii="Arial" w:hAnsi="Arial" w:cs="Arial"/>
        </w:rPr>
        <w:t xml:space="preserve"> 18</w:t>
      </w:r>
      <w:r w:rsidRPr="00062ED4">
        <w:rPr>
          <w:rFonts w:ascii="Arial" w:hAnsi="Arial" w:cs="Arial"/>
        </w:rPr>
        <w:t xml:space="preserve">. Hearing of parties by an authority deciding a </w:t>
      </w:r>
      <w:r w:rsidRPr="00062ED4">
        <w:rPr>
          <w:rFonts w:ascii="Arial" w:hAnsi="Arial" w:cs="Arial"/>
          <w:i/>
        </w:rPr>
        <w:t>lis</w:t>
      </w:r>
      <w:r w:rsidRPr="00062ED4">
        <w:rPr>
          <w:rFonts w:ascii="Arial" w:hAnsi="Arial" w:cs="Arial"/>
        </w:rPr>
        <w:t xml:space="preserve"> or dispute </w:t>
      </w:r>
      <w:r w:rsidRPr="00062ED4">
        <w:rPr>
          <w:rFonts w:ascii="Arial" w:hAnsi="Arial" w:cs="Arial"/>
          <w:i/>
        </w:rPr>
        <w:t>qua</w:t>
      </w:r>
      <w:r w:rsidRPr="00062ED4">
        <w:rPr>
          <w:rFonts w:ascii="Arial" w:hAnsi="Arial" w:cs="Arial"/>
        </w:rPr>
        <w:t xml:space="preserve"> the parties is necessary for </w:t>
      </w:r>
      <w:r w:rsidRPr="00062ED4">
        <w:rPr>
          <w:rFonts w:ascii="Arial" w:hAnsi="Arial" w:cs="Arial"/>
        </w:rPr>
        <w:lastRenderedPageBreak/>
        <w:t>compliance to the principles of natural justice, particularly when the original records are not summoned by the CIC.</w:t>
      </w:r>
      <w:r>
        <w:rPr>
          <w:rFonts w:ascii="Arial" w:hAnsi="Arial" w:cs="Arial"/>
        </w:rPr>
        <w:t xml:space="preserve"> </w:t>
      </w:r>
      <w:r w:rsidRPr="00062ED4">
        <w:rPr>
          <w:rFonts w:ascii="Arial" w:hAnsi="Arial" w:cs="Arial"/>
        </w:rPr>
        <w:t>Therefore t</w:t>
      </w:r>
      <w:r>
        <w:rPr>
          <w:rFonts w:ascii="Arial" w:hAnsi="Arial" w:cs="Arial"/>
        </w:rPr>
        <w:t>his rule may be suitably modified.</w:t>
      </w:r>
    </w:p>
    <w:p w:rsidR="00165FB9" w:rsidRPr="00C72629" w:rsidRDefault="00165FB9" w:rsidP="00165FB9">
      <w:pPr>
        <w:pStyle w:val="ListParagraph"/>
        <w:spacing w:before="120" w:after="180"/>
        <w:contextualSpacing w:val="0"/>
        <w:rPr>
          <w:rFonts w:ascii="Arial" w:hAnsi="Arial" w:cs="Arial"/>
        </w:rPr>
      </w:pPr>
    </w:p>
    <w:p w:rsidR="00165FB9" w:rsidRPr="001A27DF" w:rsidRDefault="00165FB9" w:rsidP="00165FB9">
      <w:pPr>
        <w:pStyle w:val="ListParagraph"/>
        <w:numPr>
          <w:ilvl w:val="0"/>
          <w:numId w:val="1"/>
        </w:numPr>
        <w:spacing w:before="120" w:after="180" w:line="360" w:lineRule="auto"/>
        <w:contextualSpacing w:val="0"/>
        <w:rPr>
          <w:rFonts w:ascii="Arial" w:hAnsi="Arial" w:cs="Arial"/>
          <w:b/>
        </w:rPr>
      </w:pPr>
      <w:r w:rsidRPr="001A27DF">
        <w:rPr>
          <w:rFonts w:ascii="Arial" w:hAnsi="Arial" w:cs="Arial"/>
          <w:b/>
        </w:rPr>
        <w:t xml:space="preserve"> Rule 16 –</w:t>
      </w:r>
      <w:r>
        <w:rPr>
          <w:rFonts w:ascii="Arial" w:hAnsi="Arial" w:cs="Arial"/>
          <w:b/>
        </w:rPr>
        <w:t xml:space="preserve"> Non Compliance cases</w:t>
      </w:r>
      <w:r w:rsidRPr="001A27DF">
        <w:rPr>
          <w:rFonts w:ascii="Arial" w:hAnsi="Arial" w:cs="Arial"/>
          <w:b/>
        </w:rPr>
        <w:t xml:space="preserve"> </w:t>
      </w:r>
      <w:r>
        <w:rPr>
          <w:rFonts w:ascii="Arial" w:hAnsi="Arial" w:cs="Arial"/>
          <w:b/>
        </w:rPr>
        <w:t xml:space="preserve">- </w:t>
      </w:r>
      <w:r w:rsidRPr="001A27DF">
        <w:rPr>
          <w:rFonts w:ascii="Arial" w:hAnsi="Arial" w:cs="Arial"/>
        </w:rPr>
        <w:t xml:space="preserve">The validity and reasonability of this rule is questionable on the face of the provisions of Section 18 of the RTI Act. The time-limit of three months for filing </w:t>
      </w:r>
      <w:r w:rsidRPr="001A27DF">
        <w:rPr>
          <w:rFonts w:ascii="Arial" w:hAnsi="Arial" w:cs="Arial"/>
          <w:color w:val="000000"/>
        </w:rPr>
        <w:t>non-compliance</w:t>
      </w:r>
      <w:r w:rsidRPr="001A27DF">
        <w:rPr>
          <w:rFonts w:ascii="Arial" w:hAnsi="Arial" w:cs="Arial"/>
        </w:rPr>
        <w:t xml:space="preserve"> provisions are without the authority of law and also not practicable. Further, no provision has been enacted for </w:t>
      </w:r>
      <w:r w:rsidRPr="001A27DF">
        <w:rPr>
          <w:rFonts w:ascii="Arial" w:hAnsi="Arial" w:cs="Arial"/>
          <w:color w:val="000000"/>
        </w:rPr>
        <w:t>non-compliance</w:t>
      </w:r>
      <w:r w:rsidRPr="001A27DF">
        <w:rPr>
          <w:rFonts w:ascii="Arial" w:hAnsi="Arial" w:cs="Arial"/>
        </w:rPr>
        <w:t xml:space="preserve"> of the orders of the F.A.A. as in such cases, the appellant with a favourable order in his hand, cannot file 2</w:t>
      </w:r>
      <w:r w:rsidRPr="001A27DF">
        <w:rPr>
          <w:rFonts w:ascii="Arial" w:hAnsi="Arial" w:cs="Arial"/>
          <w:vertAlign w:val="superscript"/>
        </w:rPr>
        <w:t>nd</w:t>
      </w:r>
      <w:r w:rsidRPr="001A27DF">
        <w:rPr>
          <w:rFonts w:ascii="Arial" w:hAnsi="Arial" w:cs="Arial"/>
        </w:rPr>
        <w:t xml:space="preserve"> Appeal to the CIC. This rule may be redrafted so as to make it incumbent on the F.A.A. and CIC to specify in their orders, the time limit within which the information in question is to be provided.</w:t>
      </w:r>
    </w:p>
    <w:p w:rsidR="00165FB9" w:rsidRDefault="00165FB9" w:rsidP="00165FB9">
      <w:pPr>
        <w:pStyle w:val="ListParagraph"/>
        <w:spacing w:before="120" w:after="180" w:line="360" w:lineRule="auto"/>
        <w:ind w:firstLine="720"/>
        <w:contextualSpacing w:val="0"/>
        <w:rPr>
          <w:rFonts w:ascii="Arial" w:hAnsi="Arial" w:cs="Arial"/>
        </w:rPr>
      </w:pPr>
      <w:r w:rsidRPr="001A27DF">
        <w:rPr>
          <w:rFonts w:ascii="Arial" w:hAnsi="Arial" w:cs="Arial"/>
        </w:rPr>
        <w:t xml:space="preserve">The Punjab and Haryana State Information Commission in order to effectively deal with the </w:t>
      </w:r>
      <w:r>
        <w:rPr>
          <w:rFonts w:ascii="Arial" w:hAnsi="Arial" w:cs="Arial"/>
        </w:rPr>
        <w:t xml:space="preserve">problem of </w:t>
      </w:r>
      <w:r w:rsidRPr="001A27DF">
        <w:rPr>
          <w:rFonts w:ascii="Arial" w:hAnsi="Arial" w:cs="Arial"/>
          <w:color w:val="000000"/>
        </w:rPr>
        <w:t>non-compliance</w:t>
      </w:r>
      <w:r>
        <w:rPr>
          <w:rFonts w:ascii="Arial" w:hAnsi="Arial" w:cs="Arial"/>
        </w:rPr>
        <w:t xml:space="preserve"> of its orders, had devised the method of asking a compliance report after 30 days of the period given for complying with its orders. A similar provision needs to be incorporated in proposed RTI Rules making it obligatory on the part of the CPIO/</w:t>
      </w:r>
      <w:r w:rsidRPr="00042A26">
        <w:rPr>
          <w:rFonts w:ascii="Arial" w:hAnsi="Arial" w:cs="Arial"/>
        </w:rPr>
        <w:t>respondents</w:t>
      </w:r>
      <w:r>
        <w:rPr>
          <w:rFonts w:ascii="Arial" w:hAnsi="Arial" w:cs="Arial"/>
        </w:rPr>
        <w:t xml:space="preserve"> to submit a compliance report to the CIC within 30 days of the expiry of the time given for providing of the </w:t>
      </w:r>
      <w:r w:rsidRPr="00042A26">
        <w:rPr>
          <w:rFonts w:ascii="Arial" w:hAnsi="Arial" w:cs="Arial"/>
        </w:rPr>
        <w:t>information</w:t>
      </w:r>
      <w:r>
        <w:rPr>
          <w:rFonts w:ascii="Arial" w:hAnsi="Arial" w:cs="Arial"/>
        </w:rPr>
        <w:t>.</w:t>
      </w:r>
    </w:p>
    <w:p w:rsidR="00165FB9" w:rsidRPr="001A27DF" w:rsidRDefault="00165FB9" w:rsidP="00165FB9">
      <w:pPr>
        <w:pStyle w:val="ListParagraph"/>
        <w:spacing w:before="120" w:after="180" w:line="360" w:lineRule="auto"/>
        <w:ind w:firstLine="720"/>
        <w:contextualSpacing w:val="0"/>
        <w:rPr>
          <w:rFonts w:ascii="Arial" w:hAnsi="Arial" w:cs="Arial"/>
          <w:b/>
        </w:rPr>
      </w:pPr>
    </w:p>
    <w:p w:rsidR="00165FB9" w:rsidRPr="0036039A" w:rsidRDefault="00165FB9" w:rsidP="00165FB9">
      <w:pPr>
        <w:pStyle w:val="ListParagraph"/>
        <w:numPr>
          <w:ilvl w:val="0"/>
          <w:numId w:val="1"/>
        </w:numPr>
        <w:spacing w:before="120" w:after="180" w:line="360" w:lineRule="auto"/>
        <w:contextualSpacing w:val="0"/>
        <w:rPr>
          <w:rFonts w:ascii="Arial" w:hAnsi="Arial" w:cs="Arial"/>
          <w:b/>
          <w:i/>
        </w:rPr>
      </w:pPr>
      <w:r>
        <w:rPr>
          <w:rFonts w:ascii="Arial" w:hAnsi="Arial" w:cs="Arial"/>
          <w:b/>
        </w:rPr>
        <w:t xml:space="preserve">Rule 17 - </w:t>
      </w:r>
      <w:r>
        <w:rPr>
          <w:rFonts w:ascii="Arial" w:hAnsi="Arial" w:cs="Arial"/>
          <w:b/>
          <w:i/>
        </w:rPr>
        <w:t>Transfer and P</w:t>
      </w:r>
      <w:r w:rsidRPr="006D7597">
        <w:rPr>
          <w:rFonts w:ascii="Arial" w:hAnsi="Arial" w:cs="Arial"/>
          <w:b/>
          <w:i/>
        </w:rPr>
        <w:t>osting</w:t>
      </w:r>
      <w:r>
        <w:rPr>
          <w:rFonts w:ascii="Arial" w:hAnsi="Arial" w:cs="Arial"/>
          <w:b/>
          <w:i/>
        </w:rPr>
        <w:t xml:space="preserve"> </w:t>
      </w:r>
      <w:r w:rsidRPr="006D7597">
        <w:rPr>
          <w:rFonts w:ascii="Arial" w:hAnsi="Arial" w:cs="Arial"/>
          <w:b/>
          <w:i/>
        </w:rPr>
        <w:t>of appeals/complaints</w:t>
      </w:r>
      <w:r>
        <w:rPr>
          <w:rFonts w:ascii="Arial" w:hAnsi="Arial" w:cs="Arial"/>
          <w:b/>
          <w:i/>
        </w:rPr>
        <w:t xml:space="preserve"> before ICs – </w:t>
      </w:r>
      <w:r>
        <w:rPr>
          <w:rFonts w:ascii="Arial" w:hAnsi="Arial" w:cs="Arial"/>
        </w:rPr>
        <w:t xml:space="preserve">The proposed rule 17 in its present form is not in consonance with the provisions of section 12(4) </w:t>
      </w:r>
      <w:r w:rsidRPr="00643C36">
        <w:rPr>
          <w:rFonts w:ascii="Arial" w:hAnsi="Arial" w:cs="Arial"/>
        </w:rPr>
        <w:t>of the RTI Act</w:t>
      </w:r>
      <w:r>
        <w:rPr>
          <w:rFonts w:ascii="Arial" w:hAnsi="Arial" w:cs="Arial"/>
        </w:rPr>
        <w:t xml:space="preserve">. No doubt the </w:t>
      </w:r>
      <w:r w:rsidRPr="00117955">
        <w:rPr>
          <w:rFonts w:ascii="Arial" w:hAnsi="Arial" w:cs="Arial"/>
        </w:rPr>
        <w:t>Chief Information Commissioner</w:t>
      </w:r>
      <w:r>
        <w:rPr>
          <w:rFonts w:ascii="Arial" w:hAnsi="Arial" w:cs="Arial"/>
        </w:rPr>
        <w:t xml:space="preserve"> has the discretion to distribute work amongst the </w:t>
      </w:r>
      <w:r w:rsidRPr="000A655B">
        <w:rPr>
          <w:rFonts w:ascii="Arial" w:hAnsi="Arial" w:cs="Arial"/>
        </w:rPr>
        <w:t>Information Commissioner</w:t>
      </w:r>
      <w:r>
        <w:rPr>
          <w:rFonts w:ascii="Arial" w:hAnsi="Arial" w:cs="Arial"/>
        </w:rPr>
        <w:t xml:space="preserve"> but such distribution has to be exercised judiciously on certain criteria &amp; basis. </w:t>
      </w:r>
      <w:r w:rsidRPr="0036039A">
        <w:rPr>
          <w:rFonts w:ascii="Arial" w:hAnsi="Arial" w:cs="Arial"/>
          <w:b/>
        </w:rPr>
        <w:t xml:space="preserve">In this respect, the Full bench decision of the Gujarat High Court in the case of </w:t>
      </w:r>
      <w:r w:rsidRPr="0036039A">
        <w:rPr>
          <w:rFonts w:ascii="Arial" w:hAnsi="Arial" w:cs="Arial"/>
          <w:b/>
          <w:i/>
        </w:rPr>
        <w:t>Suo Motu v. Gujarat High Court Advocates’ Association</w:t>
      </w:r>
      <w:r w:rsidRPr="0036039A">
        <w:rPr>
          <w:rFonts w:ascii="Arial" w:hAnsi="Arial" w:cs="Arial"/>
          <w:b/>
        </w:rPr>
        <w:t xml:space="preserve"> – 2015 (320) ELT 564 (Guj.) </w:t>
      </w:r>
      <w:r>
        <w:rPr>
          <w:rFonts w:ascii="Arial" w:hAnsi="Arial" w:cs="Arial"/>
          <w:b/>
        </w:rPr>
        <w:t xml:space="preserve">has </w:t>
      </w:r>
      <w:r w:rsidRPr="0036039A">
        <w:rPr>
          <w:rFonts w:ascii="Arial" w:hAnsi="Arial" w:cs="Arial"/>
          <w:b/>
        </w:rPr>
        <w:t xml:space="preserve">held that even the Chief Justice of High Court in </w:t>
      </w:r>
      <w:r>
        <w:rPr>
          <w:rFonts w:ascii="Arial" w:hAnsi="Arial" w:cs="Arial"/>
          <w:b/>
        </w:rPr>
        <w:t xml:space="preserve">his </w:t>
      </w:r>
      <w:r w:rsidRPr="0036039A">
        <w:rPr>
          <w:rFonts w:ascii="Arial" w:hAnsi="Arial" w:cs="Arial"/>
          <w:b/>
        </w:rPr>
        <w:t>administrative capacity cannot constitute Larger Bench</w:t>
      </w:r>
      <w:r>
        <w:rPr>
          <w:rFonts w:ascii="Arial" w:hAnsi="Arial" w:cs="Arial"/>
          <w:b/>
        </w:rPr>
        <w:t xml:space="preserve"> and allocate case to it.</w:t>
      </w:r>
    </w:p>
    <w:p w:rsidR="00165FB9" w:rsidRDefault="00165FB9" w:rsidP="00165FB9">
      <w:pPr>
        <w:pStyle w:val="ListParagraph"/>
        <w:spacing w:before="120" w:after="180" w:line="360" w:lineRule="auto"/>
        <w:ind w:firstLine="720"/>
        <w:contextualSpacing w:val="0"/>
        <w:rPr>
          <w:rFonts w:ascii="Arial" w:hAnsi="Arial" w:cs="Arial"/>
        </w:rPr>
      </w:pPr>
      <w:r>
        <w:rPr>
          <w:rFonts w:ascii="Arial" w:hAnsi="Arial" w:cs="Arial"/>
        </w:rPr>
        <w:lastRenderedPageBreak/>
        <w:t xml:space="preserve">The powers conferred on the </w:t>
      </w:r>
      <w:r w:rsidRPr="000A655B">
        <w:rPr>
          <w:rFonts w:ascii="Arial" w:hAnsi="Arial" w:cs="Arial"/>
        </w:rPr>
        <w:t>Chief Information Commissioner</w:t>
      </w:r>
      <w:r>
        <w:rPr>
          <w:rFonts w:ascii="Arial" w:hAnsi="Arial" w:cs="Arial"/>
        </w:rPr>
        <w:t xml:space="preserve"> under section 12(4) </w:t>
      </w:r>
      <w:r w:rsidRPr="000A655B">
        <w:rPr>
          <w:rFonts w:ascii="Arial" w:hAnsi="Arial" w:cs="Arial"/>
        </w:rPr>
        <w:t>of the RTI Act</w:t>
      </w:r>
      <w:r>
        <w:rPr>
          <w:rFonts w:ascii="Arial" w:hAnsi="Arial" w:cs="Arial"/>
        </w:rPr>
        <w:t xml:space="preserve"> are to be exercised with the assistance of the </w:t>
      </w:r>
      <w:r w:rsidRPr="00F31444">
        <w:rPr>
          <w:rFonts w:ascii="Arial" w:hAnsi="Arial" w:cs="Arial"/>
        </w:rPr>
        <w:t>Information Commissioner</w:t>
      </w:r>
      <w:r>
        <w:rPr>
          <w:rFonts w:ascii="Arial" w:hAnsi="Arial" w:cs="Arial"/>
        </w:rPr>
        <w:t xml:space="preserve">s. This provision of section 12(4) does not gives exclusive powers and discretion to the </w:t>
      </w:r>
      <w:r w:rsidRPr="004A79C1">
        <w:rPr>
          <w:rFonts w:ascii="Arial" w:hAnsi="Arial" w:cs="Arial"/>
        </w:rPr>
        <w:t>Chief Information Commissioner</w:t>
      </w:r>
      <w:r>
        <w:rPr>
          <w:rFonts w:ascii="Arial" w:hAnsi="Arial" w:cs="Arial"/>
        </w:rPr>
        <w:t xml:space="preserve"> rather  introduces a collegium type of management in the CIC. </w:t>
      </w:r>
    </w:p>
    <w:p w:rsidR="00165FB9" w:rsidRDefault="00165FB9" w:rsidP="00165FB9">
      <w:pPr>
        <w:pStyle w:val="ListParagraph"/>
        <w:spacing w:before="120" w:after="180" w:line="360" w:lineRule="auto"/>
        <w:ind w:firstLine="720"/>
        <w:contextualSpacing w:val="0"/>
        <w:rPr>
          <w:rFonts w:ascii="Arial" w:hAnsi="Arial" w:cs="Arial"/>
        </w:rPr>
      </w:pPr>
      <w:r>
        <w:rPr>
          <w:rFonts w:ascii="Arial" w:hAnsi="Arial" w:cs="Arial"/>
        </w:rPr>
        <w:t xml:space="preserve">There may be situations for shifting of cases from one Commissioner to another but discretion to transfer cases has to be exercised judiciously by </w:t>
      </w:r>
      <w:r w:rsidRPr="003475A3">
        <w:rPr>
          <w:rFonts w:ascii="Arial" w:hAnsi="Arial" w:cs="Arial"/>
        </w:rPr>
        <w:t>Chief Information Commissioner</w:t>
      </w:r>
      <w:r>
        <w:rPr>
          <w:rFonts w:ascii="Arial" w:hAnsi="Arial" w:cs="Arial"/>
        </w:rPr>
        <w:t xml:space="preserve"> by recording reasons. Once having made the allocation of work, the jurisdiction over the appeals/complaints is determined and thereafter the </w:t>
      </w:r>
      <w:r w:rsidRPr="00BB3EC2">
        <w:rPr>
          <w:rFonts w:ascii="Arial" w:hAnsi="Arial" w:cs="Arial"/>
        </w:rPr>
        <w:t>Chief Information Commissioner</w:t>
      </w:r>
      <w:r>
        <w:rPr>
          <w:rFonts w:ascii="Arial" w:hAnsi="Arial" w:cs="Arial"/>
        </w:rPr>
        <w:t xml:space="preserve"> cannot tinker with such jurisdiction to shift individual cases from jurisdictional </w:t>
      </w:r>
      <w:r w:rsidRPr="005219BE">
        <w:rPr>
          <w:rFonts w:ascii="Arial" w:hAnsi="Arial" w:cs="Arial"/>
        </w:rPr>
        <w:t>Information</w:t>
      </w:r>
      <w:r>
        <w:rPr>
          <w:rFonts w:ascii="Arial" w:hAnsi="Arial" w:cs="Arial"/>
        </w:rPr>
        <w:t xml:space="preserve"> Commissioner unless there are compelling reasons/circumstances in the interest of justice and fairplay and such reasons are to be placed on records by the CIC.</w:t>
      </w:r>
    </w:p>
    <w:p w:rsidR="00165FB9" w:rsidRDefault="00165FB9" w:rsidP="00165FB9">
      <w:pPr>
        <w:pStyle w:val="ListParagraph"/>
        <w:spacing w:before="120" w:after="180" w:line="360" w:lineRule="auto"/>
        <w:ind w:firstLine="720"/>
        <w:contextualSpacing w:val="0"/>
        <w:rPr>
          <w:rFonts w:ascii="Arial" w:hAnsi="Arial" w:cs="Arial"/>
          <w:b/>
        </w:rPr>
      </w:pPr>
      <w:r>
        <w:rPr>
          <w:rFonts w:ascii="Arial" w:hAnsi="Arial" w:cs="Arial"/>
        </w:rPr>
        <w:t>The word “</w:t>
      </w:r>
      <w:r w:rsidRPr="00CF6BD5">
        <w:rPr>
          <w:rFonts w:ascii="Arial" w:hAnsi="Arial" w:cs="Arial"/>
          <w:b/>
        </w:rPr>
        <w:t>suo motu</w:t>
      </w:r>
      <w:r>
        <w:rPr>
          <w:rFonts w:ascii="Arial" w:hAnsi="Arial" w:cs="Arial"/>
        </w:rPr>
        <w:t xml:space="preserve">” as appearing in the proposed Rule 17, conferring unfettered powers on the </w:t>
      </w:r>
      <w:r w:rsidRPr="00C23F24">
        <w:rPr>
          <w:rFonts w:ascii="Arial" w:hAnsi="Arial" w:cs="Arial"/>
        </w:rPr>
        <w:t>Chief Information Commissioner</w:t>
      </w:r>
      <w:r>
        <w:rPr>
          <w:rFonts w:ascii="Arial" w:hAnsi="Arial" w:cs="Arial"/>
        </w:rPr>
        <w:t xml:space="preserve"> to transfer cases, is beyond the provisions </w:t>
      </w:r>
      <w:r w:rsidRPr="00C23F24">
        <w:rPr>
          <w:rFonts w:ascii="Arial" w:hAnsi="Arial" w:cs="Arial"/>
        </w:rPr>
        <w:t>of the RTI Act</w:t>
      </w:r>
      <w:r>
        <w:rPr>
          <w:rFonts w:ascii="Arial" w:hAnsi="Arial" w:cs="Arial"/>
        </w:rPr>
        <w:t xml:space="preserve">. No doubt they may not be misused by the present setup but when rules are made, the authority should take care of all future possibilities of misuse so as to protect independence of the </w:t>
      </w:r>
      <w:r w:rsidRPr="00CF6BD5">
        <w:rPr>
          <w:rFonts w:ascii="Arial" w:hAnsi="Arial" w:cs="Arial"/>
        </w:rPr>
        <w:t>Information Commissioner</w:t>
      </w:r>
      <w:r>
        <w:rPr>
          <w:rFonts w:ascii="Arial" w:hAnsi="Arial" w:cs="Arial"/>
        </w:rPr>
        <w:t xml:space="preserve">s and interest of the citizens because the </w:t>
      </w:r>
      <w:r w:rsidRPr="00E76B4C">
        <w:rPr>
          <w:rFonts w:ascii="Arial" w:hAnsi="Arial" w:cs="Arial"/>
        </w:rPr>
        <w:t>Chief Information Commissioner</w:t>
      </w:r>
      <w:r>
        <w:rPr>
          <w:rFonts w:ascii="Arial" w:hAnsi="Arial" w:cs="Arial"/>
        </w:rPr>
        <w:t xml:space="preserve"> would be an appointee of the </w:t>
      </w:r>
      <w:r w:rsidRPr="00E76B4C">
        <w:rPr>
          <w:rFonts w:ascii="Arial" w:hAnsi="Arial" w:cs="Arial"/>
        </w:rPr>
        <w:t>Government</w:t>
      </w:r>
      <w:r>
        <w:rPr>
          <w:rFonts w:ascii="Arial" w:hAnsi="Arial" w:cs="Arial"/>
        </w:rPr>
        <w:t xml:space="preserve"> under the present scheme of things and the </w:t>
      </w:r>
      <w:r w:rsidRPr="005B2646">
        <w:rPr>
          <w:rFonts w:ascii="Arial" w:hAnsi="Arial" w:cs="Arial"/>
        </w:rPr>
        <w:t>larger public interest</w:t>
      </w:r>
      <w:r>
        <w:rPr>
          <w:rFonts w:ascii="Arial" w:hAnsi="Arial" w:cs="Arial"/>
        </w:rPr>
        <w:t xml:space="preserve"> needs to be protected so as to upheld the autonomy of the CIC at any cost since it is dealing with disclosure of </w:t>
      </w:r>
      <w:r w:rsidRPr="000E1C79">
        <w:rPr>
          <w:rFonts w:ascii="Arial" w:hAnsi="Arial" w:cs="Arial"/>
        </w:rPr>
        <w:t>information</w:t>
      </w:r>
      <w:r>
        <w:rPr>
          <w:rFonts w:ascii="Arial" w:hAnsi="Arial" w:cs="Arial"/>
        </w:rPr>
        <w:t xml:space="preserve"> concerning corruption and misuse of authority by the powerful and mighty persons in power.</w:t>
      </w:r>
      <w:r>
        <w:rPr>
          <w:rFonts w:ascii="Arial" w:hAnsi="Arial" w:cs="Arial"/>
          <w:b/>
        </w:rPr>
        <w:t xml:space="preserve"> </w:t>
      </w:r>
    </w:p>
    <w:p w:rsidR="00165FB9" w:rsidRPr="006D7597" w:rsidRDefault="00165FB9" w:rsidP="00165FB9">
      <w:pPr>
        <w:pStyle w:val="ListParagraph"/>
        <w:spacing w:before="120" w:after="180" w:line="360" w:lineRule="auto"/>
        <w:ind w:firstLine="720"/>
        <w:contextualSpacing w:val="0"/>
        <w:rPr>
          <w:rFonts w:ascii="Arial" w:hAnsi="Arial" w:cs="Arial"/>
          <w:b/>
          <w:i/>
        </w:rPr>
      </w:pPr>
      <w:r>
        <w:rPr>
          <w:rFonts w:ascii="Arial" w:hAnsi="Arial" w:cs="Arial"/>
          <w:b/>
        </w:rPr>
        <w:t xml:space="preserve">The proposed Rule 17 needs to be split up in three sub-rules, the first may provide for work distribution amongst the </w:t>
      </w:r>
      <w:r w:rsidRPr="000E6678">
        <w:rPr>
          <w:rFonts w:ascii="Arial" w:hAnsi="Arial" w:cs="Arial"/>
          <w:b/>
        </w:rPr>
        <w:t>Information Commissioner</w:t>
      </w:r>
      <w:r>
        <w:rPr>
          <w:rFonts w:ascii="Arial" w:hAnsi="Arial" w:cs="Arial"/>
          <w:b/>
        </w:rPr>
        <w:t xml:space="preserve">s, the second may provide for dealing with cases warranting shifting of individual cases in the eventualities such as recusal of </w:t>
      </w:r>
      <w:r w:rsidRPr="00CC0C9A">
        <w:rPr>
          <w:rFonts w:ascii="Arial" w:hAnsi="Arial" w:cs="Arial"/>
          <w:b/>
        </w:rPr>
        <w:t>Information Commissioner</w:t>
      </w:r>
      <w:r>
        <w:rPr>
          <w:rFonts w:ascii="Arial" w:hAnsi="Arial" w:cs="Arial"/>
          <w:b/>
        </w:rPr>
        <w:t xml:space="preserve">s or allegation of bias by the parties or otherwise and the third sub-rule for recording reasons for </w:t>
      </w:r>
      <w:r>
        <w:rPr>
          <w:rFonts w:ascii="Arial" w:hAnsi="Arial" w:cs="Arial"/>
          <w:b/>
        </w:rPr>
        <w:lastRenderedPageBreak/>
        <w:t xml:space="preserve">shifting of assigned cases from one </w:t>
      </w:r>
      <w:r w:rsidRPr="007F7999">
        <w:rPr>
          <w:rFonts w:ascii="Arial" w:hAnsi="Arial" w:cs="Arial"/>
          <w:b/>
        </w:rPr>
        <w:t>Information Commissioner</w:t>
      </w:r>
      <w:r>
        <w:rPr>
          <w:rFonts w:ascii="Arial" w:hAnsi="Arial" w:cs="Arial"/>
          <w:b/>
        </w:rPr>
        <w:t xml:space="preserve"> to another. </w:t>
      </w:r>
    </w:p>
    <w:p w:rsidR="00165FB9" w:rsidRPr="009F472D" w:rsidRDefault="00165FB9" w:rsidP="00165FB9">
      <w:pPr>
        <w:pStyle w:val="ListParagraph"/>
        <w:numPr>
          <w:ilvl w:val="0"/>
          <w:numId w:val="1"/>
        </w:numPr>
        <w:spacing w:before="120" w:after="180" w:line="360" w:lineRule="auto"/>
        <w:contextualSpacing w:val="0"/>
        <w:rPr>
          <w:rFonts w:ascii="Arial" w:hAnsi="Arial" w:cs="Arial"/>
          <w:b/>
        </w:rPr>
      </w:pPr>
      <w:r>
        <w:rPr>
          <w:rFonts w:ascii="Arial" w:hAnsi="Arial" w:cs="Arial"/>
          <w:b/>
        </w:rPr>
        <w:t xml:space="preserve">Rule 18 – </w:t>
      </w:r>
      <w:r>
        <w:rPr>
          <w:rFonts w:ascii="Arial" w:hAnsi="Arial" w:cs="Arial"/>
        </w:rPr>
        <w:t>In</w:t>
      </w:r>
      <w:r w:rsidRPr="006175BB">
        <w:rPr>
          <w:rFonts w:ascii="Arial" w:hAnsi="Arial" w:cs="Arial"/>
        </w:rPr>
        <w:t xml:space="preserve"> the </w:t>
      </w:r>
      <w:r>
        <w:rPr>
          <w:rFonts w:ascii="Arial" w:hAnsi="Arial" w:cs="Arial"/>
        </w:rPr>
        <w:t xml:space="preserve">erstwhile </w:t>
      </w:r>
      <w:r w:rsidRPr="006175BB">
        <w:rPr>
          <w:rFonts w:ascii="Arial" w:hAnsi="Arial" w:cs="Arial"/>
        </w:rPr>
        <w:t>rule</w:t>
      </w:r>
      <w:r>
        <w:rPr>
          <w:rFonts w:ascii="Arial" w:hAnsi="Arial" w:cs="Arial"/>
        </w:rPr>
        <w:t xml:space="preserve"> 12(1) of the RTI Rules 2012, a clear notice of hearing  of 7 days was required to be issued to the parties, but under the proposed Rule 18, this provision has been withdrawn. The CIC has an All India jurisdiction where the parties have to make travel arrangements for attending the hearing and even for video conferencing where the NIC studio is not at their stations. Moreover, the CPIOs are also having their own working schedules and meetings, </w:t>
      </w:r>
      <w:r w:rsidRPr="003C7D20">
        <w:rPr>
          <w:rFonts w:ascii="Arial" w:hAnsi="Arial" w:cs="Arial"/>
        </w:rPr>
        <w:t>therefore</w:t>
      </w:r>
      <w:r>
        <w:rPr>
          <w:rFonts w:ascii="Arial" w:hAnsi="Arial" w:cs="Arial"/>
        </w:rPr>
        <w:t xml:space="preserve">, a clear notice of atleast 15 days should be provided in the proposed Rules to make the hearing effective. There are no justifiable reasons for omitting the period of notice of hearing from the Rules. It may </w:t>
      </w:r>
      <w:r w:rsidRPr="00963711">
        <w:rPr>
          <w:rFonts w:ascii="Arial" w:hAnsi="Arial" w:cs="Arial"/>
        </w:rPr>
        <w:t>therefore</w:t>
      </w:r>
      <w:r>
        <w:rPr>
          <w:rFonts w:ascii="Arial" w:hAnsi="Arial" w:cs="Arial"/>
        </w:rPr>
        <w:t xml:space="preserve"> be reintroduced in the proposed rules.</w:t>
      </w:r>
    </w:p>
    <w:p w:rsidR="00165FB9" w:rsidRDefault="00165FB9" w:rsidP="00165FB9">
      <w:pPr>
        <w:pStyle w:val="ListParagraph"/>
        <w:spacing w:before="120" w:after="180" w:line="360" w:lineRule="auto"/>
        <w:contextualSpacing w:val="0"/>
        <w:rPr>
          <w:rFonts w:ascii="Arial" w:hAnsi="Arial" w:cs="Arial"/>
          <w:b/>
        </w:rPr>
      </w:pPr>
    </w:p>
    <w:p w:rsidR="00165FB9" w:rsidRPr="009F472D" w:rsidRDefault="00165FB9" w:rsidP="00165FB9">
      <w:pPr>
        <w:pStyle w:val="ListParagraph"/>
        <w:numPr>
          <w:ilvl w:val="0"/>
          <w:numId w:val="1"/>
        </w:numPr>
        <w:spacing w:before="120" w:after="180" w:line="360" w:lineRule="auto"/>
        <w:contextualSpacing w:val="0"/>
        <w:rPr>
          <w:rFonts w:ascii="Arial" w:hAnsi="Arial" w:cs="Arial"/>
          <w:b/>
        </w:rPr>
      </w:pPr>
      <w:r>
        <w:rPr>
          <w:rFonts w:ascii="Arial" w:hAnsi="Arial" w:cs="Arial"/>
          <w:b/>
        </w:rPr>
        <w:t xml:space="preserve">Rule 19 – </w:t>
      </w:r>
      <w:r>
        <w:rPr>
          <w:rFonts w:ascii="Arial" w:hAnsi="Arial" w:cs="Arial"/>
        </w:rPr>
        <w:t xml:space="preserve">It is a welcoming provision which will add to the efficiency and quality of the proceedings and orders of the CIC as under the present system, in the absence of any reply/counter, the </w:t>
      </w:r>
      <w:r w:rsidRPr="00F747B7">
        <w:rPr>
          <w:rFonts w:ascii="Arial" w:hAnsi="Arial" w:cs="Arial"/>
        </w:rPr>
        <w:t>Information Commissioner</w:t>
      </w:r>
      <w:r>
        <w:rPr>
          <w:rFonts w:ascii="Arial" w:hAnsi="Arial" w:cs="Arial"/>
        </w:rPr>
        <w:t xml:space="preserve">s have to records the stand of the </w:t>
      </w:r>
      <w:r w:rsidRPr="00F747B7">
        <w:rPr>
          <w:rFonts w:ascii="Arial" w:hAnsi="Arial" w:cs="Arial"/>
        </w:rPr>
        <w:t>respondents</w:t>
      </w:r>
      <w:r>
        <w:rPr>
          <w:rFonts w:ascii="Arial" w:hAnsi="Arial" w:cs="Arial"/>
        </w:rPr>
        <w:t xml:space="preserve"> and this results in lengthy hearings because of the absence of the written say of the </w:t>
      </w:r>
      <w:r w:rsidRPr="00A163B3">
        <w:rPr>
          <w:rFonts w:ascii="Arial" w:hAnsi="Arial" w:cs="Arial"/>
        </w:rPr>
        <w:t>respondents</w:t>
      </w:r>
      <w:r>
        <w:rPr>
          <w:rFonts w:ascii="Arial" w:hAnsi="Arial" w:cs="Arial"/>
        </w:rPr>
        <w:t xml:space="preserve"> and contradictory and confusing pleas taken by the </w:t>
      </w:r>
      <w:r w:rsidRPr="00EC73BC">
        <w:rPr>
          <w:rFonts w:ascii="Arial" w:hAnsi="Arial" w:cs="Arial"/>
        </w:rPr>
        <w:t>CPIO</w:t>
      </w:r>
      <w:r>
        <w:rPr>
          <w:rFonts w:ascii="Arial" w:hAnsi="Arial" w:cs="Arial"/>
        </w:rPr>
        <w:t xml:space="preserve">s during hearings. </w:t>
      </w:r>
      <w:r w:rsidRPr="00F52F5F">
        <w:rPr>
          <w:rFonts w:ascii="Arial" w:hAnsi="Arial" w:cs="Arial"/>
          <w:b/>
        </w:rPr>
        <w:t xml:space="preserve">However, a time-limit of 4-6 weeks may be prescribed </w:t>
      </w:r>
      <w:r>
        <w:rPr>
          <w:rFonts w:ascii="Arial" w:hAnsi="Arial" w:cs="Arial"/>
          <w:b/>
        </w:rPr>
        <w:t>for filing reply/comments by the CPIO/</w:t>
      </w:r>
      <w:r w:rsidRPr="00D7530F">
        <w:rPr>
          <w:rFonts w:ascii="Arial" w:hAnsi="Arial" w:cs="Arial"/>
          <w:b/>
        </w:rPr>
        <w:t>respondents</w:t>
      </w:r>
      <w:r>
        <w:rPr>
          <w:rFonts w:ascii="Arial" w:hAnsi="Arial" w:cs="Arial"/>
          <w:b/>
        </w:rPr>
        <w:t xml:space="preserve"> so as </w:t>
      </w:r>
      <w:r w:rsidRPr="00F52F5F">
        <w:rPr>
          <w:rFonts w:ascii="Arial" w:hAnsi="Arial" w:cs="Arial"/>
          <w:b/>
        </w:rPr>
        <w:t>to make this rule effective and enforceable</w:t>
      </w:r>
      <w:r>
        <w:rPr>
          <w:rFonts w:ascii="Arial" w:hAnsi="Arial" w:cs="Arial"/>
        </w:rPr>
        <w:t>.</w:t>
      </w:r>
    </w:p>
    <w:p w:rsidR="00165FB9" w:rsidRPr="00687E1E" w:rsidRDefault="00165FB9" w:rsidP="00165FB9">
      <w:pPr>
        <w:pStyle w:val="ListParagraph"/>
        <w:spacing w:before="120" w:after="180" w:line="360" w:lineRule="auto"/>
        <w:contextualSpacing w:val="0"/>
        <w:rPr>
          <w:rFonts w:ascii="Arial" w:hAnsi="Arial" w:cs="Arial"/>
          <w:b/>
        </w:rPr>
      </w:pPr>
    </w:p>
    <w:p w:rsidR="00165FB9" w:rsidRPr="00C5508A" w:rsidRDefault="00165FB9" w:rsidP="00165FB9">
      <w:pPr>
        <w:spacing w:before="120" w:after="180" w:line="360" w:lineRule="auto"/>
        <w:ind w:left="360"/>
        <w:jc w:val="center"/>
        <w:rPr>
          <w:rFonts w:ascii="Arial" w:hAnsi="Arial" w:cs="Arial"/>
          <w:b/>
          <w:sz w:val="34"/>
          <w:u w:val="single"/>
        </w:rPr>
      </w:pPr>
      <w:r w:rsidRPr="00C5508A">
        <w:rPr>
          <w:rFonts w:ascii="Arial" w:hAnsi="Arial" w:cs="Arial"/>
          <w:b/>
          <w:sz w:val="34"/>
          <w:u w:val="single"/>
        </w:rPr>
        <w:t xml:space="preserve">ADDITIONAL </w:t>
      </w:r>
      <w:r w:rsidR="00D47E4C">
        <w:rPr>
          <w:rFonts w:ascii="Arial" w:hAnsi="Arial" w:cs="Arial"/>
          <w:b/>
          <w:sz w:val="34"/>
          <w:u w:val="single"/>
        </w:rPr>
        <w:t>RULES</w:t>
      </w:r>
    </w:p>
    <w:p w:rsidR="00165FB9" w:rsidRPr="004F315D" w:rsidRDefault="00165FB9" w:rsidP="00165FB9">
      <w:pPr>
        <w:pStyle w:val="ListParagraph"/>
        <w:numPr>
          <w:ilvl w:val="0"/>
          <w:numId w:val="1"/>
        </w:numPr>
        <w:spacing w:before="120" w:after="180" w:line="360" w:lineRule="auto"/>
        <w:contextualSpacing w:val="0"/>
        <w:rPr>
          <w:rFonts w:ascii="Arial" w:hAnsi="Arial" w:cs="Arial"/>
          <w:b/>
        </w:rPr>
      </w:pPr>
      <w:r>
        <w:rPr>
          <w:rFonts w:ascii="Arial" w:hAnsi="Arial" w:cs="Arial"/>
          <w:b/>
        </w:rPr>
        <w:t xml:space="preserve">Function and duties of the </w:t>
      </w:r>
      <w:r w:rsidRPr="00B8317F">
        <w:rPr>
          <w:rFonts w:ascii="Arial" w:hAnsi="Arial" w:cs="Arial"/>
          <w:b/>
        </w:rPr>
        <w:t>Registrar</w:t>
      </w:r>
      <w:r>
        <w:rPr>
          <w:rFonts w:ascii="Arial" w:hAnsi="Arial" w:cs="Arial"/>
        </w:rPr>
        <w:t xml:space="preserve"> – The Registrar of the CIC plays an important role being the head of the registry. His powers, duties and functions should be enumerated in the RTI Rules to make it effective and to create accountability on the registry of the CIC. The Rules for most of the Tribunals outline the functions, powers and duties of the Registrar. Such pre-defined functions, powers and duties of the Registrar under the Rules are necessary for efficient functioning of the registry.</w:t>
      </w:r>
    </w:p>
    <w:p w:rsidR="00165FB9" w:rsidRPr="004F315D" w:rsidRDefault="00165FB9" w:rsidP="00165FB9">
      <w:pPr>
        <w:pStyle w:val="ListParagraph"/>
        <w:numPr>
          <w:ilvl w:val="0"/>
          <w:numId w:val="1"/>
        </w:numPr>
        <w:spacing w:before="120" w:after="180" w:line="360" w:lineRule="auto"/>
        <w:contextualSpacing w:val="0"/>
        <w:rPr>
          <w:rFonts w:ascii="Arial" w:hAnsi="Arial" w:cs="Arial"/>
          <w:b/>
        </w:rPr>
      </w:pPr>
      <w:r w:rsidRPr="00024608">
        <w:rPr>
          <w:rFonts w:ascii="Arial" w:hAnsi="Arial" w:cs="Arial"/>
          <w:b/>
        </w:rPr>
        <w:lastRenderedPageBreak/>
        <w:t>Procedure for</w:t>
      </w:r>
      <w:r>
        <w:rPr>
          <w:rFonts w:ascii="Arial" w:hAnsi="Arial" w:cs="Arial"/>
          <w:b/>
        </w:rPr>
        <w:t xml:space="preserve"> proceedings before </w:t>
      </w:r>
      <w:r w:rsidRPr="00024608">
        <w:rPr>
          <w:rFonts w:ascii="Arial" w:hAnsi="Arial" w:cs="Arial"/>
          <w:b/>
        </w:rPr>
        <w:t>F.A.A. may be prescribed in proposed RTI Rules</w:t>
      </w:r>
      <w:r>
        <w:rPr>
          <w:rFonts w:ascii="Arial" w:hAnsi="Arial" w:cs="Arial"/>
          <w:b/>
        </w:rPr>
        <w:t xml:space="preserve"> – </w:t>
      </w:r>
      <w:r w:rsidRPr="000D5587">
        <w:rPr>
          <w:rFonts w:ascii="Arial" w:hAnsi="Arial" w:cs="Arial"/>
        </w:rPr>
        <w:t>The</w:t>
      </w:r>
      <w:r>
        <w:rPr>
          <w:rFonts w:ascii="Arial" w:hAnsi="Arial" w:cs="Arial"/>
        </w:rPr>
        <w:t xml:space="preserve"> institution of </w:t>
      </w:r>
      <w:r w:rsidRPr="000D5587">
        <w:rPr>
          <w:rFonts w:ascii="Arial" w:hAnsi="Arial" w:cs="Arial"/>
        </w:rPr>
        <w:t>First Appellate Authority</w:t>
      </w:r>
      <w:r>
        <w:rPr>
          <w:rFonts w:ascii="Arial" w:hAnsi="Arial" w:cs="Arial"/>
        </w:rPr>
        <w:t xml:space="preserve"> plays an important role in the implementation of the RTI regime as most of the</w:t>
      </w:r>
      <w:r>
        <w:rPr>
          <w:rFonts w:ascii="Arial" w:hAnsi="Arial" w:cs="Arial"/>
          <w:b/>
        </w:rPr>
        <w:t xml:space="preserve"> </w:t>
      </w:r>
      <w:r w:rsidRPr="000D5587">
        <w:rPr>
          <w:rFonts w:ascii="Arial" w:hAnsi="Arial" w:cs="Arial"/>
        </w:rPr>
        <w:t>grievances</w:t>
      </w:r>
      <w:r>
        <w:rPr>
          <w:rFonts w:ascii="Arial" w:hAnsi="Arial" w:cs="Arial"/>
        </w:rPr>
        <w:t xml:space="preserve"> or </w:t>
      </w:r>
      <w:r w:rsidRPr="00700CE1">
        <w:rPr>
          <w:rFonts w:ascii="Arial" w:hAnsi="Arial" w:cs="Arial"/>
        </w:rPr>
        <w:t>irregularities</w:t>
      </w:r>
      <w:r>
        <w:rPr>
          <w:rFonts w:ascii="Arial" w:hAnsi="Arial" w:cs="Arial"/>
        </w:rPr>
        <w:t xml:space="preserve"> in the handling of the </w:t>
      </w:r>
      <w:r w:rsidRPr="00700CE1">
        <w:rPr>
          <w:rFonts w:ascii="Arial" w:hAnsi="Arial" w:cs="Arial"/>
        </w:rPr>
        <w:t>RTI Application</w:t>
      </w:r>
      <w:r>
        <w:rPr>
          <w:rFonts w:ascii="Arial" w:hAnsi="Arial" w:cs="Arial"/>
        </w:rPr>
        <w:t xml:space="preserve">s by the CPIO can be taken care of at the local level of the </w:t>
      </w:r>
      <w:r w:rsidRPr="00700CE1">
        <w:rPr>
          <w:rFonts w:ascii="Arial" w:hAnsi="Arial" w:cs="Arial"/>
        </w:rPr>
        <w:t>F.A.A.</w:t>
      </w:r>
      <w:r>
        <w:rPr>
          <w:rFonts w:ascii="Arial" w:hAnsi="Arial" w:cs="Arial"/>
        </w:rPr>
        <w:t xml:space="preserve">, </w:t>
      </w:r>
      <w:r w:rsidRPr="00700CE1">
        <w:rPr>
          <w:rFonts w:ascii="Arial" w:hAnsi="Arial" w:cs="Arial"/>
        </w:rPr>
        <w:t>therefore</w:t>
      </w:r>
      <w:r>
        <w:rPr>
          <w:rFonts w:ascii="Arial" w:hAnsi="Arial" w:cs="Arial"/>
        </w:rPr>
        <w:t xml:space="preserve"> this institution needs to be strengthened by providing a set of rules in the proposed RTI Rules.</w:t>
      </w:r>
    </w:p>
    <w:p w:rsidR="00165FB9" w:rsidRDefault="00165FB9" w:rsidP="00165FB9">
      <w:pPr>
        <w:pStyle w:val="ListParagraph"/>
        <w:spacing w:before="120" w:after="180" w:line="360" w:lineRule="auto"/>
        <w:ind w:firstLine="720"/>
        <w:contextualSpacing w:val="0"/>
        <w:rPr>
          <w:rFonts w:ascii="Arial" w:hAnsi="Arial" w:cs="Arial"/>
        </w:rPr>
      </w:pPr>
      <w:r>
        <w:rPr>
          <w:rFonts w:ascii="Arial" w:hAnsi="Arial" w:cs="Arial"/>
        </w:rPr>
        <w:t xml:space="preserve">Non disposal of appeals and delayed disposal of the cases and confirmation of the CPIO’s order blindly without application of mind are the main shortcomings in the functioning of the </w:t>
      </w:r>
      <w:r w:rsidRPr="00BF134D">
        <w:rPr>
          <w:rFonts w:ascii="Arial" w:hAnsi="Arial" w:cs="Arial"/>
        </w:rPr>
        <w:t>F.A.A.</w:t>
      </w:r>
      <w:r>
        <w:rPr>
          <w:rFonts w:ascii="Arial" w:hAnsi="Arial" w:cs="Arial"/>
        </w:rPr>
        <w:t xml:space="preserve">, they may be taken care of by laying down certain drills / timelines in the RTI Rules for processing of the appeal. A procedure for acknowledgement of the appeal from the office of the </w:t>
      </w:r>
      <w:r w:rsidRPr="00E60286">
        <w:rPr>
          <w:rFonts w:ascii="Arial" w:hAnsi="Arial" w:cs="Arial"/>
        </w:rPr>
        <w:t>F.A.A.</w:t>
      </w:r>
      <w:r>
        <w:rPr>
          <w:rFonts w:ascii="Arial" w:hAnsi="Arial" w:cs="Arial"/>
        </w:rPr>
        <w:t xml:space="preserve"> needs to be prescribed as in many of the cases, there are complaints about the denial of receipt of the appeal by the office of the </w:t>
      </w:r>
      <w:r w:rsidRPr="004C4D7B">
        <w:rPr>
          <w:rFonts w:ascii="Arial" w:hAnsi="Arial" w:cs="Arial"/>
        </w:rPr>
        <w:t>F.A.A.</w:t>
      </w:r>
      <w:r>
        <w:rPr>
          <w:rFonts w:ascii="Arial" w:hAnsi="Arial" w:cs="Arial"/>
        </w:rPr>
        <w:t xml:space="preserve"> even though such appeals were tendered by hand at the dak counter. Giving of hearing by the </w:t>
      </w:r>
      <w:r w:rsidRPr="00E60286">
        <w:rPr>
          <w:rFonts w:ascii="Arial" w:hAnsi="Arial" w:cs="Arial"/>
        </w:rPr>
        <w:t>F.A.A.</w:t>
      </w:r>
      <w:r>
        <w:rPr>
          <w:rFonts w:ascii="Arial" w:hAnsi="Arial" w:cs="Arial"/>
        </w:rPr>
        <w:t xml:space="preserve"> can be another method for bringing seriousness to the institution of the </w:t>
      </w:r>
      <w:r w:rsidRPr="00330A48">
        <w:rPr>
          <w:rFonts w:ascii="Arial" w:hAnsi="Arial" w:cs="Arial"/>
        </w:rPr>
        <w:t>F.A.A.</w:t>
      </w:r>
      <w:r>
        <w:rPr>
          <w:rFonts w:ascii="Arial" w:hAnsi="Arial" w:cs="Arial"/>
        </w:rPr>
        <w:t xml:space="preserve"> and timely disposal of 1</w:t>
      </w:r>
      <w:r w:rsidRPr="00330A48">
        <w:rPr>
          <w:rFonts w:ascii="Arial" w:hAnsi="Arial" w:cs="Arial"/>
          <w:vertAlign w:val="superscript"/>
        </w:rPr>
        <w:t>st</w:t>
      </w:r>
      <w:r>
        <w:rPr>
          <w:rFonts w:ascii="Arial" w:hAnsi="Arial" w:cs="Arial"/>
        </w:rPr>
        <w:t xml:space="preserve"> Appeals. </w:t>
      </w:r>
    </w:p>
    <w:p w:rsidR="00165FB9" w:rsidRDefault="00165FB9" w:rsidP="00165FB9">
      <w:pPr>
        <w:pStyle w:val="ListParagraph"/>
        <w:spacing w:before="120" w:after="180" w:line="360" w:lineRule="auto"/>
        <w:ind w:firstLine="720"/>
        <w:contextualSpacing w:val="0"/>
        <w:rPr>
          <w:rFonts w:ascii="Arial" w:hAnsi="Arial" w:cs="Arial"/>
          <w:b/>
        </w:rPr>
      </w:pPr>
      <w:r w:rsidRPr="00F80DD2">
        <w:rPr>
          <w:rFonts w:ascii="Arial" w:hAnsi="Arial" w:cs="Arial"/>
          <w:b/>
        </w:rPr>
        <w:t>The strengthening of the institution of F.A.A. will considerably reduce the workload in the CIC as in many of the cases, the CIC has to function primarily as a F.A.A.</w:t>
      </w:r>
    </w:p>
    <w:p w:rsidR="00165FB9" w:rsidRDefault="00165FB9" w:rsidP="00165FB9">
      <w:pPr>
        <w:pStyle w:val="ListParagraph"/>
        <w:spacing w:before="120" w:after="180" w:line="360" w:lineRule="auto"/>
        <w:ind w:firstLine="720"/>
        <w:contextualSpacing w:val="0"/>
        <w:jc w:val="center"/>
        <w:rPr>
          <w:rFonts w:ascii="Arial" w:hAnsi="Arial" w:cs="Arial"/>
          <w:b/>
        </w:rPr>
      </w:pPr>
      <w:r>
        <w:rPr>
          <w:rFonts w:ascii="Arial" w:hAnsi="Arial" w:cs="Arial"/>
          <w:b/>
        </w:rPr>
        <w:t>_______</w:t>
      </w:r>
    </w:p>
    <w:p w:rsidR="00165FB9" w:rsidRDefault="00165FB9"/>
    <w:sectPr w:rsidR="00165FB9" w:rsidSect="005F4FFE">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B6B" w:rsidRDefault="00BB3B6B" w:rsidP="00C04EC8">
      <w:r>
        <w:separator/>
      </w:r>
    </w:p>
  </w:endnote>
  <w:endnote w:type="continuationSeparator" w:id="1">
    <w:p w:rsidR="00BB3B6B" w:rsidRDefault="00BB3B6B" w:rsidP="00C04E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vantGarde">
    <w:altName w:val="Century Gothic"/>
    <w:charset w:val="00"/>
    <w:family w:val="swiss"/>
    <w:pitch w:val="variable"/>
    <w:sig w:usb0="00000287" w:usb1="00000000"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B6B" w:rsidRDefault="00BB3B6B" w:rsidP="00C04EC8">
      <w:r>
        <w:separator/>
      </w:r>
    </w:p>
  </w:footnote>
  <w:footnote w:type="continuationSeparator" w:id="1">
    <w:p w:rsidR="00BB3B6B" w:rsidRDefault="00BB3B6B" w:rsidP="00C04E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9661"/>
      <w:docPartObj>
        <w:docPartGallery w:val="Page Numbers (Top of Page)"/>
        <w:docPartUnique/>
      </w:docPartObj>
    </w:sdtPr>
    <w:sdtContent>
      <w:p w:rsidR="00C04EC8" w:rsidRDefault="00C04EC8">
        <w:pPr>
          <w:pStyle w:val="Header"/>
          <w:jc w:val="right"/>
        </w:pPr>
        <w:r w:rsidRPr="00C04EC8">
          <w:rPr>
            <w:rFonts w:ascii="Arial" w:hAnsi="Arial" w:cs="Arial"/>
            <w:b/>
            <w:sz w:val="32"/>
            <w:szCs w:val="32"/>
          </w:rPr>
          <w:fldChar w:fldCharType="begin"/>
        </w:r>
        <w:r w:rsidRPr="00C04EC8">
          <w:rPr>
            <w:rFonts w:ascii="Arial" w:hAnsi="Arial" w:cs="Arial"/>
            <w:b/>
            <w:sz w:val="32"/>
            <w:szCs w:val="32"/>
          </w:rPr>
          <w:instrText xml:space="preserve"> PAGE   \* MERGEFORMAT </w:instrText>
        </w:r>
        <w:r w:rsidRPr="00C04EC8">
          <w:rPr>
            <w:rFonts w:ascii="Arial" w:hAnsi="Arial" w:cs="Arial"/>
            <w:b/>
            <w:sz w:val="32"/>
            <w:szCs w:val="32"/>
          </w:rPr>
          <w:fldChar w:fldCharType="separate"/>
        </w:r>
        <w:r w:rsidR="00D47E4C">
          <w:rPr>
            <w:rFonts w:ascii="Arial" w:hAnsi="Arial" w:cs="Arial"/>
            <w:b/>
            <w:noProof/>
            <w:sz w:val="32"/>
            <w:szCs w:val="32"/>
          </w:rPr>
          <w:t>9</w:t>
        </w:r>
        <w:r w:rsidRPr="00C04EC8">
          <w:rPr>
            <w:rFonts w:ascii="Arial" w:hAnsi="Arial" w:cs="Arial"/>
            <w:b/>
            <w:sz w:val="32"/>
            <w:szCs w:val="32"/>
          </w:rPr>
          <w:fldChar w:fldCharType="end"/>
        </w:r>
      </w:p>
    </w:sdtContent>
  </w:sdt>
  <w:p w:rsidR="00C04EC8" w:rsidRDefault="00C04E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1E75"/>
    <w:multiLevelType w:val="hybridMultilevel"/>
    <w:tmpl w:val="D9B0D272"/>
    <w:lvl w:ilvl="0" w:tplc="19461548">
      <w:start w:val="1"/>
      <w:numFmt w:val="lowerLetter"/>
      <w:lvlText w:val="(%1)"/>
      <w:lvlJc w:val="left"/>
      <w:pPr>
        <w:ind w:left="1080" w:hanging="360"/>
      </w:pPr>
      <w:rPr>
        <w:rFonts w:hint="default"/>
        <w:b w:val="0"/>
        <w:i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1E015134"/>
    <w:multiLevelType w:val="hybridMultilevel"/>
    <w:tmpl w:val="898423B6"/>
    <w:lvl w:ilvl="0" w:tplc="76DA2EB6">
      <w:start w:val="1"/>
      <w:numFmt w:val="decimal"/>
      <w:lvlText w:val="(%1)"/>
      <w:lvlJc w:val="left"/>
      <w:pPr>
        <w:ind w:left="72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0B84CD9"/>
    <w:multiLevelType w:val="hybridMultilevel"/>
    <w:tmpl w:val="93BE79C6"/>
    <w:lvl w:ilvl="0" w:tplc="34D8B8F8">
      <w:start w:val="1"/>
      <w:numFmt w:val="lowerLetter"/>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329E1F5D"/>
    <w:multiLevelType w:val="hybridMultilevel"/>
    <w:tmpl w:val="D9B0D272"/>
    <w:lvl w:ilvl="0" w:tplc="19461548">
      <w:start w:val="1"/>
      <w:numFmt w:val="lowerLetter"/>
      <w:lvlText w:val="(%1)"/>
      <w:lvlJc w:val="left"/>
      <w:pPr>
        <w:ind w:left="1080" w:hanging="360"/>
      </w:pPr>
      <w:rPr>
        <w:rFonts w:hint="default"/>
        <w:b w:val="0"/>
        <w:i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660A52D8"/>
    <w:multiLevelType w:val="hybridMultilevel"/>
    <w:tmpl w:val="F68286E6"/>
    <w:lvl w:ilvl="0" w:tplc="B672E344">
      <w:start w:val="1"/>
      <w:numFmt w:val="lowerLetter"/>
      <w:lvlText w:val="(%1)"/>
      <w:lvlJc w:val="left"/>
      <w:pPr>
        <w:ind w:left="1080" w:hanging="360"/>
      </w:pPr>
      <w:rPr>
        <w:rFonts w:hint="default"/>
        <w:b w:val="0"/>
        <w:i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79341854"/>
    <w:multiLevelType w:val="hybridMultilevel"/>
    <w:tmpl w:val="2CCC1DB8"/>
    <w:lvl w:ilvl="0" w:tplc="BC4A0612">
      <w:start w:val="1"/>
      <w:numFmt w:val="lowerLetter"/>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65FB9"/>
    <w:rsid w:val="00165FB9"/>
    <w:rsid w:val="001C6F25"/>
    <w:rsid w:val="00204C07"/>
    <w:rsid w:val="002F67D5"/>
    <w:rsid w:val="003A6D56"/>
    <w:rsid w:val="003F683C"/>
    <w:rsid w:val="00491328"/>
    <w:rsid w:val="0058268B"/>
    <w:rsid w:val="005F4FFE"/>
    <w:rsid w:val="006A24C5"/>
    <w:rsid w:val="007820FB"/>
    <w:rsid w:val="007F7552"/>
    <w:rsid w:val="008452C6"/>
    <w:rsid w:val="00B1571E"/>
    <w:rsid w:val="00B27B52"/>
    <w:rsid w:val="00B6524E"/>
    <w:rsid w:val="00BB3B6B"/>
    <w:rsid w:val="00C04EC8"/>
    <w:rsid w:val="00D47E4C"/>
    <w:rsid w:val="00F14F56"/>
    <w:rsid w:val="00F6078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FB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X0">
    <w:name w:val="0X0"/>
    <w:rsid w:val="00165FB9"/>
    <w:pPr>
      <w:widowControl w:val="0"/>
      <w:autoSpaceDE w:val="0"/>
      <w:autoSpaceDN w:val="0"/>
      <w:adjustRightInd w:val="0"/>
      <w:spacing w:after="120" w:line="480" w:lineRule="atLeast"/>
      <w:ind w:left="720"/>
      <w:jc w:val="both"/>
    </w:pPr>
    <w:rPr>
      <w:rFonts w:ascii="AvantGarde" w:eastAsia="Times New Roman" w:hAnsi="AvantGarde" w:cs="Times New Roman"/>
      <w:sz w:val="40"/>
      <w:szCs w:val="40"/>
      <w:lang w:val="en-US"/>
    </w:rPr>
  </w:style>
  <w:style w:type="paragraph" w:customStyle="1" w:styleId="BODY-8PT">
    <w:name w:val="BODY-8PT"/>
    <w:rsid w:val="00165FB9"/>
    <w:pPr>
      <w:widowControl w:val="0"/>
      <w:autoSpaceDE w:val="0"/>
      <w:autoSpaceDN w:val="0"/>
      <w:adjustRightInd w:val="0"/>
      <w:spacing w:after="54" w:line="198" w:lineRule="atLeast"/>
      <w:jc w:val="both"/>
    </w:pPr>
    <w:rPr>
      <w:rFonts w:ascii="AvantGarde" w:eastAsia="Times New Roman" w:hAnsi="AvantGarde" w:cs="Times New Roman"/>
      <w:sz w:val="18"/>
      <w:szCs w:val="18"/>
      <w:lang w:val="en-US"/>
    </w:rPr>
  </w:style>
  <w:style w:type="paragraph" w:customStyle="1" w:styleId="I-PA-NM">
    <w:name w:val="I-PA-NM"/>
    <w:rsid w:val="00165F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60" w:line="220" w:lineRule="atLeast"/>
      <w:jc w:val="right"/>
    </w:pPr>
    <w:rPr>
      <w:rFonts w:ascii="AvantGarde" w:eastAsia="Times New Roman" w:hAnsi="AvantGarde" w:cs="Times New Roman"/>
      <w:sz w:val="20"/>
      <w:szCs w:val="20"/>
      <w:lang w:val="en-US"/>
    </w:rPr>
  </w:style>
  <w:style w:type="paragraph" w:styleId="BodyText3">
    <w:name w:val="Body Text 3"/>
    <w:basedOn w:val="Normal"/>
    <w:link w:val="BodyText3Char"/>
    <w:rsid w:val="00165FB9"/>
    <w:pPr>
      <w:spacing w:after="120"/>
    </w:pPr>
    <w:rPr>
      <w:sz w:val="16"/>
      <w:szCs w:val="16"/>
    </w:rPr>
  </w:style>
  <w:style w:type="character" w:customStyle="1" w:styleId="BodyText3Char">
    <w:name w:val="Body Text 3 Char"/>
    <w:basedOn w:val="DefaultParagraphFont"/>
    <w:link w:val="BodyText3"/>
    <w:rsid w:val="00165FB9"/>
    <w:rPr>
      <w:rFonts w:ascii="Times New Roman" w:eastAsia="Times New Roman" w:hAnsi="Times New Roman" w:cs="Times New Roman"/>
      <w:sz w:val="16"/>
      <w:szCs w:val="16"/>
      <w:lang w:val="en-US"/>
    </w:rPr>
  </w:style>
  <w:style w:type="paragraph" w:customStyle="1" w:styleId="0x2">
    <w:name w:val="0x2"/>
    <w:rsid w:val="00165FB9"/>
    <w:pPr>
      <w:widowControl w:val="0"/>
      <w:autoSpaceDE w:val="0"/>
      <w:autoSpaceDN w:val="0"/>
      <w:adjustRightInd w:val="0"/>
      <w:spacing w:after="72" w:line="288" w:lineRule="atLeast"/>
      <w:ind w:right="720"/>
      <w:jc w:val="both"/>
    </w:pPr>
    <w:rPr>
      <w:rFonts w:ascii="AvantGarde" w:eastAsia="Times New Roman" w:hAnsi="AvantGarde" w:cs="Times New Roman"/>
      <w:sz w:val="24"/>
      <w:szCs w:val="24"/>
      <w:lang w:val="en-US"/>
    </w:rPr>
  </w:style>
  <w:style w:type="paragraph" w:styleId="ListParagraph">
    <w:name w:val="List Paragraph"/>
    <w:basedOn w:val="Normal"/>
    <w:uiPriority w:val="34"/>
    <w:qFormat/>
    <w:rsid w:val="00165FB9"/>
    <w:pPr>
      <w:ind w:left="720"/>
      <w:contextualSpacing/>
      <w:jc w:val="both"/>
    </w:pPr>
    <w:rPr>
      <w:lang w:val="en-IN" w:eastAsia="en-IN"/>
    </w:rPr>
  </w:style>
  <w:style w:type="paragraph" w:styleId="Header">
    <w:name w:val="header"/>
    <w:basedOn w:val="Normal"/>
    <w:link w:val="HeaderChar"/>
    <w:uiPriority w:val="99"/>
    <w:unhideWhenUsed/>
    <w:rsid w:val="00C04EC8"/>
    <w:pPr>
      <w:tabs>
        <w:tab w:val="center" w:pos="4513"/>
        <w:tab w:val="right" w:pos="9026"/>
      </w:tabs>
    </w:pPr>
  </w:style>
  <w:style w:type="character" w:customStyle="1" w:styleId="HeaderChar">
    <w:name w:val="Header Char"/>
    <w:basedOn w:val="DefaultParagraphFont"/>
    <w:link w:val="Header"/>
    <w:uiPriority w:val="99"/>
    <w:rsid w:val="00C04EC8"/>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C04EC8"/>
    <w:pPr>
      <w:tabs>
        <w:tab w:val="center" w:pos="4513"/>
        <w:tab w:val="right" w:pos="9026"/>
      </w:tabs>
    </w:pPr>
  </w:style>
  <w:style w:type="character" w:customStyle="1" w:styleId="FooterChar">
    <w:name w:val="Footer Char"/>
    <w:basedOn w:val="DefaultParagraphFont"/>
    <w:link w:val="Footer"/>
    <w:uiPriority w:val="99"/>
    <w:semiHidden/>
    <w:rsid w:val="00C04EC8"/>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B198D-2218-4FA7-B83D-8EF76D6B5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2797</Words>
  <Characters>15945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8</cp:revision>
  <dcterms:created xsi:type="dcterms:W3CDTF">2017-04-11T15:41:00Z</dcterms:created>
  <dcterms:modified xsi:type="dcterms:W3CDTF">2017-04-11T15:47:00Z</dcterms:modified>
</cp:coreProperties>
</file>