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AFB" w:rsidRDefault="005E1AFB" w:rsidP="005E1AFB">
      <w:pPr>
        <w:pStyle w:val="p1"/>
        <w:ind w:right="1133"/>
        <w:jc w:val="center"/>
        <w:outlineLvl w:val="0"/>
        <w:rPr>
          <w:rStyle w:val="s1"/>
          <w:rFonts w:asciiTheme="minorHAnsi" w:hAnsiTheme="minorHAnsi"/>
          <w:b/>
          <w:sz w:val="24"/>
          <w:szCs w:val="24"/>
        </w:rPr>
      </w:pPr>
    </w:p>
    <w:p w:rsidR="003408E9" w:rsidRDefault="003408E9" w:rsidP="005E1AFB">
      <w:pPr>
        <w:pStyle w:val="p1"/>
        <w:ind w:right="1133"/>
        <w:jc w:val="center"/>
        <w:outlineLvl w:val="0"/>
        <w:rPr>
          <w:rStyle w:val="s1"/>
          <w:rFonts w:asciiTheme="minorHAnsi" w:hAnsiTheme="minorHAnsi"/>
          <w:b/>
          <w:sz w:val="24"/>
          <w:szCs w:val="24"/>
        </w:rPr>
      </w:pPr>
    </w:p>
    <w:p w:rsidR="00847FC7" w:rsidRDefault="00847FC7" w:rsidP="005E1AFB">
      <w:pPr>
        <w:pStyle w:val="p1"/>
        <w:ind w:right="1133"/>
        <w:jc w:val="center"/>
        <w:outlineLvl w:val="0"/>
        <w:rPr>
          <w:rStyle w:val="s1"/>
          <w:rFonts w:asciiTheme="minorHAnsi" w:hAnsiTheme="minorHAnsi"/>
          <w:b/>
          <w:sz w:val="24"/>
          <w:szCs w:val="24"/>
        </w:rPr>
      </w:pPr>
    </w:p>
    <w:p w:rsidR="00847FC7" w:rsidRDefault="00847FC7" w:rsidP="005E1AFB">
      <w:pPr>
        <w:pStyle w:val="p1"/>
        <w:ind w:right="1133"/>
        <w:jc w:val="center"/>
        <w:outlineLvl w:val="0"/>
        <w:rPr>
          <w:rStyle w:val="s1"/>
          <w:rFonts w:asciiTheme="minorHAnsi" w:hAnsiTheme="minorHAnsi"/>
          <w:b/>
          <w:sz w:val="24"/>
          <w:szCs w:val="24"/>
        </w:rPr>
      </w:pPr>
    </w:p>
    <w:p w:rsidR="00847FC7" w:rsidRPr="00847FC7" w:rsidRDefault="00847FC7" w:rsidP="005E1AFB">
      <w:pPr>
        <w:pStyle w:val="p1"/>
        <w:ind w:right="1133"/>
        <w:jc w:val="center"/>
        <w:outlineLvl w:val="0"/>
        <w:rPr>
          <w:rStyle w:val="s1"/>
          <w:rFonts w:asciiTheme="minorHAnsi" w:hAnsiTheme="minorHAnsi"/>
          <w:b/>
          <w:sz w:val="24"/>
          <w:szCs w:val="24"/>
        </w:rPr>
      </w:pPr>
    </w:p>
    <w:p w:rsidR="005E1AFB" w:rsidRPr="00847FC7" w:rsidRDefault="005E1AFB" w:rsidP="005E1AFB">
      <w:pPr>
        <w:pStyle w:val="p1"/>
        <w:ind w:right="1133"/>
        <w:jc w:val="center"/>
        <w:outlineLvl w:val="0"/>
        <w:rPr>
          <w:rStyle w:val="s1"/>
          <w:rFonts w:asciiTheme="minorHAnsi" w:hAnsiTheme="minorHAnsi"/>
          <w:b/>
          <w:sz w:val="24"/>
          <w:szCs w:val="24"/>
        </w:rPr>
      </w:pPr>
      <w:r w:rsidRPr="00847FC7">
        <w:rPr>
          <w:rStyle w:val="s1"/>
          <w:rFonts w:asciiTheme="minorHAnsi" w:hAnsiTheme="minorHAnsi"/>
          <w:b/>
          <w:sz w:val="24"/>
          <w:szCs w:val="24"/>
        </w:rPr>
        <w:t>Séminaire e-Juris - APPEL A CONTRIBUTIONS</w:t>
      </w:r>
    </w:p>
    <w:p w:rsidR="005E1AFB" w:rsidRPr="00847FC7" w:rsidRDefault="005E1AFB" w:rsidP="005E1AFB">
      <w:pPr>
        <w:pStyle w:val="p1"/>
        <w:ind w:right="1133"/>
        <w:jc w:val="both"/>
        <w:rPr>
          <w:rStyle w:val="s1"/>
          <w:rFonts w:asciiTheme="minorHAnsi" w:hAnsiTheme="minorHAnsi"/>
          <w:sz w:val="24"/>
          <w:szCs w:val="24"/>
        </w:rPr>
      </w:pPr>
    </w:p>
    <w:p w:rsidR="005E1AFB" w:rsidRPr="00847FC7" w:rsidRDefault="005E1AFB" w:rsidP="005E1AFB">
      <w:pPr>
        <w:pStyle w:val="p1"/>
        <w:ind w:right="1133"/>
        <w:jc w:val="both"/>
        <w:rPr>
          <w:rStyle w:val="s1"/>
          <w:rFonts w:asciiTheme="minorHAnsi" w:hAnsiTheme="minorHAnsi"/>
          <w:sz w:val="24"/>
          <w:szCs w:val="24"/>
        </w:rPr>
      </w:pPr>
    </w:p>
    <w:p w:rsidR="005E1AFB" w:rsidRPr="00847FC7" w:rsidRDefault="005E1AFB" w:rsidP="005E1AFB">
      <w:pPr>
        <w:spacing w:after="0"/>
        <w:ind w:right="1275"/>
        <w:jc w:val="both"/>
        <w:rPr>
          <w:sz w:val="24"/>
          <w:szCs w:val="24"/>
        </w:rPr>
      </w:pPr>
      <w:r w:rsidRPr="00847FC7">
        <w:rPr>
          <w:sz w:val="24"/>
          <w:szCs w:val="24"/>
        </w:rPr>
        <w:t>La conjonction de l’open Data des décisions de justice (loi pour une République numérique, oct. 2016) et des technologies d’analyse de la langue, de fouille de données et d’extraction de connaissances permet de renouveler des pratiques de recherche dans ce domaine et de produire des connaissances nouvelles sur la production des juridictions, soit près de 4 millions de décisions par an (France). Celles-ci constituent un enjeu majeur pour la recherche comme pour le monde de la justice et ses usagers. </w:t>
      </w:r>
      <w:r w:rsidR="00847FC7">
        <w:rPr>
          <w:sz w:val="24"/>
          <w:szCs w:val="24"/>
        </w:rPr>
        <w:t xml:space="preserve"> </w:t>
      </w:r>
      <w:r w:rsidRPr="00847FC7">
        <w:rPr>
          <w:sz w:val="24"/>
          <w:szCs w:val="24"/>
        </w:rPr>
        <w:t xml:space="preserve">Ces évolutions conduisent à s’interroger sur les possibilités d’une gouvernementalité algorithmique, envisageable dans le domaine de la justice dès lors que la connaissance des régularités des décisions rendues dans des situations a priori comparables permet de proposer des outils d’aide à la décision, utilisables au premier chef dans la sphère juridictionnelle. En témoigne l’émergence d’une </w:t>
      </w:r>
      <w:r w:rsidRPr="00847FC7">
        <w:rPr>
          <w:i/>
          <w:iCs/>
          <w:sz w:val="24"/>
          <w:szCs w:val="24"/>
        </w:rPr>
        <w:t xml:space="preserve">Legaltech </w:t>
      </w:r>
      <w:r w:rsidRPr="00847FC7">
        <w:rPr>
          <w:sz w:val="24"/>
          <w:szCs w:val="24"/>
        </w:rPr>
        <w:t>proposant aux professionnels des services nouveaux (recherche d’informations juridiques pertinentes, évaluation des décisions juridictionnelles attendues).</w:t>
      </w:r>
    </w:p>
    <w:p w:rsidR="005E1AFB" w:rsidRPr="00847FC7" w:rsidRDefault="005E1AFB" w:rsidP="005E1AFB">
      <w:pPr>
        <w:spacing w:after="0"/>
        <w:ind w:right="1275"/>
        <w:jc w:val="both"/>
        <w:rPr>
          <w:sz w:val="24"/>
          <w:szCs w:val="24"/>
        </w:rPr>
      </w:pPr>
    </w:p>
    <w:p w:rsidR="005E1AFB" w:rsidRPr="00847FC7" w:rsidRDefault="005E1AFB" w:rsidP="005E1AFB">
      <w:pPr>
        <w:spacing w:after="0"/>
        <w:ind w:right="1275"/>
        <w:jc w:val="both"/>
        <w:rPr>
          <w:sz w:val="24"/>
          <w:szCs w:val="24"/>
        </w:rPr>
      </w:pPr>
      <w:r w:rsidRPr="00847FC7">
        <w:rPr>
          <w:sz w:val="24"/>
          <w:szCs w:val="24"/>
        </w:rPr>
        <w:t>S’agissant d’une activité régalienne avec un enjeu démocratique fort, il est essentiel de développer des techniques fiables de production de connaissances par l’analyse automatisée de décisions de justice, permettant d’élaborer et de tester la validité des outils proposés comme de rendre publics et intelligibles les procédés utilisés.</w:t>
      </w:r>
      <w:r w:rsidR="00847FC7">
        <w:rPr>
          <w:sz w:val="24"/>
          <w:szCs w:val="24"/>
        </w:rPr>
        <w:t xml:space="preserve"> </w:t>
      </w:r>
      <w:r w:rsidRPr="00847FC7">
        <w:rPr>
          <w:sz w:val="24"/>
          <w:szCs w:val="24"/>
        </w:rPr>
        <w:t>Il faut parallèlement anticiper les usages possibles de ces connaissances. La connaissance de la production des juridictions du fond constitue en effet une référence nouvelle</w:t>
      </w:r>
      <w:r w:rsidR="00E1086E">
        <w:rPr>
          <w:sz w:val="24"/>
          <w:szCs w:val="24"/>
        </w:rPr>
        <w:t>, notamment</w:t>
      </w:r>
      <w:r w:rsidRPr="00847FC7">
        <w:rPr>
          <w:sz w:val="24"/>
          <w:szCs w:val="24"/>
        </w:rPr>
        <w:t xml:space="preserve"> pour les juges</w:t>
      </w:r>
      <w:r w:rsidR="00E1086E">
        <w:rPr>
          <w:sz w:val="24"/>
          <w:szCs w:val="24"/>
        </w:rPr>
        <w:t xml:space="preserve">, </w:t>
      </w:r>
      <w:r w:rsidRPr="00847FC7">
        <w:rPr>
          <w:sz w:val="24"/>
          <w:szCs w:val="24"/>
        </w:rPr>
        <w:t>qui s’ajoute à la norme légale telle qu’interprétée via la jurisprudence, bousculant ainsi la construction historique de l’</w:t>
      </w:r>
      <w:r w:rsidR="00240D7A" w:rsidRPr="00847FC7">
        <w:rPr>
          <w:sz w:val="24"/>
          <w:szCs w:val="24"/>
        </w:rPr>
        <w:t>État</w:t>
      </w:r>
      <w:r w:rsidRPr="00847FC7">
        <w:rPr>
          <w:sz w:val="24"/>
          <w:szCs w:val="24"/>
        </w:rPr>
        <w:t xml:space="preserve"> de droit. </w:t>
      </w:r>
      <w:r w:rsidRPr="00847FC7">
        <w:rPr>
          <w:bCs/>
          <w:sz w:val="24"/>
          <w:szCs w:val="24"/>
        </w:rPr>
        <w:t>Ceux-ci</w:t>
      </w:r>
      <w:r w:rsidRPr="00847FC7">
        <w:rPr>
          <w:sz w:val="24"/>
          <w:szCs w:val="24"/>
        </w:rPr>
        <w:t xml:space="preserve"> vont disposer d’informations nouvelles et d’une nature différente pour exercer leur fonction de « dire le droit </w:t>
      </w:r>
      <w:proofErr w:type="gramStart"/>
      <w:r w:rsidRPr="00847FC7">
        <w:rPr>
          <w:sz w:val="24"/>
          <w:szCs w:val="24"/>
        </w:rPr>
        <w:t>»</w:t>
      </w:r>
      <w:r w:rsidR="00E1086E">
        <w:rPr>
          <w:sz w:val="24"/>
          <w:szCs w:val="24"/>
        </w:rPr>
        <w:t xml:space="preserve">  :</w:t>
      </w:r>
      <w:proofErr w:type="gramEnd"/>
      <w:r w:rsidR="00E1086E">
        <w:rPr>
          <w:sz w:val="24"/>
          <w:szCs w:val="24"/>
        </w:rPr>
        <w:t xml:space="preserve"> </w:t>
      </w:r>
      <w:r w:rsidRPr="00847FC7">
        <w:rPr>
          <w:sz w:val="24"/>
          <w:szCs w:val="24"/>
        </w:rPr>
        <w:t>de</w:t>
      </w:r>
      <w:r w:rsidR="00E1086E">
        <w:rPr>
          <w:sz w:val="24"/>
          <w:szCs w:val="24"/>
        </w:rPr>
        <w:t>s</w:t>
      </w:r>
      <w:r w:rsidRPr="00847FC7">
        <w:rPr>
          <w:sz w:val="24"/>
          <w:szCs w:val="24"/>
        </w:rPr>
        <w:t xml:space="preserve"> « données » issues de l’analyse automatisée de la masse des décisions rendues en première instance notamment.  Comment ces données vont-elles s’articuler avec la norme juridique (y compris jurisprudentielle) ? Peuvent-elles devenir une forme renouvelée de « norme », juridique ou a-juridique ? Faut-il craindre leur effet performatif ? Peuvent-elles prendre le pas sur une approche normative/verticale ? Ces données vont-elles par ailleurs modifier les pratiques de motivation ou de rédaction des décisions ? En fournissant des informations sur les pratiques antérieures, peuvent-elles modifier les décisions elles-</w:t>
      </w:r>
      <w:r w:rsidRPr="00847FC7">
        <w:rPr>
          <w:sz w:val="24"/>
          <w:szCs w:val="24"/>
        </w:rPr>
        <w:lastRenderedPageBreak/>
        <w:t>mêmes, en réduisant leur variabilité et/ou en mettant en place une forme de</w:t>
      </w:r>
      <w:r w:rsidR="00847FC7">
        <w:rPr>
          <w:sz w:val="24"/>
          <w:szCs w:val="24"/>
        </w:rPr>
        <w:t xml:space="preserve"> « conservatisme numérique » ?</w:t>
      </w:r>
      <w:r w:rsidRPr="00847FC7">
        <w:rPr>
          <w:sz w:val="24"/>
          <w:szCs w:val="24"/>
        </w:rPr>
        <w:t xml:space="preserve"> </w:t>
      </w:r>
    </w:p>
    <w:p w:rsidR="005E1AFB" w:rsidRPr="00847FC7" w:rsidRDefault="005E1AFB" w:rsidP="005E1AFB">
      <w:pPr>
        <w:pStyle w:val="p1"/>
        <w:ind w:right="1275"/>
        <w:jc w:val="both"/>
        <w:rPr>
          <w:rFonts w:asciiTheme="minorHAnsi" w:hAnsiTheme="minorHAnsi"/>
          <w:sz w:val="24"/>
          <w:szCs w:val="24"/>
        </w:rPr>
      </w:pPr>
    </w:p>
    <w:p w:rsidR="005E1AFB" w:rsidRPr="00847FC7" w:rsidRDefault="005E1AFB" w:rsidP="005E1AFB">
      <w:pPr>
        <w:spacing w:after="0"/>
        <w:ind w:right="1275"/>
        <w:jc w:val="both"/>
        <w:rPr>
          <w:rFonts w:cs="Times New Roman"/>
          <w:sz w:val="24"/>
          <w:szCs w:val="24"/>
        </w:rPr>
      </w:pPr>
      <w:r w:rsidRPr="00847FC7">
        <w:rPr>
          <w:sz w:val="24"/>
          <w:szCs w:val="24"/>
        </w:rPr>
        <w:t xml:space="preserve">C’est pour répondre à ces questions </w:t>
      </w:r>
      <w:r w:rsidR="00240D7A">
        <w:rPr>
          <w:sz w:val="24"/>
          <w:szCs w:val="24"/>
        </w:rPr>
        <w:t xml:space="preserve">(liste non exhaustive) </w:t>
      </w:r>
      <w:r w:rsidRPr="00847FC7">
        <w:rPr>
          <w:sz w:val="24"/>
          <w:szCs w:val="24"/>
        </w:rPr>
        <w:t>que le projet e-</w:t>
      </w:r>
      <w:proofErr w:type="spellStart"/>
      <w:r w:rsidRPr="00847FC7">
        <w:rPr>
          <w:sz w:val="24"/>
          <w:szCs w:val="24"/>
        </w:rPr>
        <w:t>Juris</w:t>
      </w:r>
      <w:proofErr w:type="spellEnd"/>
      <w:r w:rsidRPr="00847FC7">
        <w:rPr>
          <w:sz w:val="24"/>
          <w:szCs w:val="24"/>
        </w:rPr>
        <w:t xml:space="preserve"> a été élaboré. Le projet a été retenu par la MSH LSE pour la période 2018-2019 et prévoit notamment l’organisation d’</w:t>
      </w:r>
      <w:r w:rsidRPr="00847FC7">
        <w:rPr>
          <w:rStyle w:val="s1"/>
          <w:sz w:val="24"/>
          <w:szCs w:val="24"/>
        </w:rPr>
        <w:t>un séminaire consacré aux</w:t>
      </w:r>
      <w:r w:rsidRPr="00847FC7">
        <w:rPr>
          <w:rStyle w:val="s1"/>
          <w:bCs/>
          <w:sz w:val="24"/>
          <w:szCs w:val="24"/>
        </w:rPr>
        <w:t xml:space="preserve"> conséquences de l’amélioration et de la diffusion de ces techniques </w:t>
      </w:r>
      <w:r w:rsidRPr="00847FC7">
        <w:rPr>
          <w:bCs/>
          <w:sz w:val="24"/>
          <w:szCs w:val="24"/>
        </w:rPr>
        <w:t xml:space="preserve">sur l’activité des magistrats et plus largement de la justice, sous la responsabilité scientifique </w:t>
      </w:r>
      <w:r w:rsidR="00B635AF">
        <w:rPr>
          <w:bCs/>
          <w:sz w:val="24"/>
          <w:szCs w:val="24"/>
        </w:rPr>
        <w:t>d’</w:t>
      </w:r>
      <w:r w:rsidR="00172DAE" w:rsidRPr="00847FC7">
        <w:rPr>
          <w:bCs/>
          <w:sz w:val="24"/>
          <w:szCs w:val="24"/>
        </w:rPr>
        <w:t xml:space="preserve">Isabelle </w:t>
      </w:r>
      <w:proofErr w:type="spellStart"/>
      <w:r w:rsidR="00172DAE" w:rsidRPr="00847FC7">
        <w:rPr>
          <w:bCs/>
          <w:sz w:val="24"/>
          <w:szCs w:val="24"/>
        </w:rPr>
        <w:t>Sayn</w:t>
      </w:r>
      <w:proofErr w:type="spellEnd"/>
      <w:r w:rsidR="00172DAE" w:rsidRPr="00847FC7">
        <w:rPr>
          <w:bCs/>
          <w:sz w:val="24"/>
          <w:szCs w:val="24"/>
        </w:rPr>
        <w:t xml:space="preserve"> (CMW</w:t>
      </w:r>
      <w:r w:rsidR="00847FC7" w:rsidRPr="00847FC7">
        <w:rPr>
          <w:bCs/>
          <w:sz w:val="24"/>
          <w:szCs w:val="24"/>
        </w:rPr>
        <w:t>, UMR5283</w:t>
      </w:r>
      <w:r w:rsidR="00172DAE" w:rsidRPr="00847FC7">
        <w:rPr>
          <w:bCs/>
          <w:sz w:val="24"/>
          <w:szCs w:val="24"/>
        </w:rPr>
        <w:t>)</w:t>
      </w:r>
      <w:r w:rsidR="00B635AF">
        <w:rPr>
          <w:bCs/>
          <w:sz w:val="24"/>
          <w:szCs w:val="24"/>
        </w:rPr>
        <w:t xml:space="preserve"> et de </w:t>
      </w:r>
      <w:r w:rsidR="00B635AF" w:rsidRPr="00847FC7">
        <w:rPr>
          <w:bCs/>
          <w:sz w:val="24"/>
          <w:szCs w:val="24"/>
        </w:rPr>
        <w:t>Marianne Cottin (CERCRID, UMR 5137)</w:t>
      </w:r>
      <w:r w:rsidR="00172DAE" w:rsidRPr="00847FC7">
        <w:rPr>
          <w:bCs/>
          <w:sz w:val="24"/>
          <w:szCs w:val="24"/>
        </w:rPr>
        <w:t>.</w:t>
      </w:r>
    </w:p>
    <w:p w:rsidR="005E1AFB" w:rsidRPr="00847FC7" w:rsidRDefault="005E1AFB" w:rsidP="005E1AFB">
      <w:pPr>
        <w:pStyle w:val="p1"/>
        <w:ind w:right="1275"/>
        <w:jc w:val="both"/>
        <w:rPr>
          <w:rFonts w:asciiTheme="minorHAnsi" w:hAnsiTheme="minorHAnsi"/>
          <w:sz w:val="24"/>
          <w:szCs w:val="24"/>
        </w:rPr>
      </w:pPr>
    </w:p>
    <w:p w:rsidR="005E1AFB" w:rsidRPr="00847FC7" w:rsidRDefault="005E1AFB" w:rsidP="005E1AFB">
      <w:pPr>
        <w:pStyle w:val="p1"/>
        <w:ind w:right="1275"/>
        <w:jc w:val="both"/>
        <w:rPr>
          <w:rStyle w:val="apple-converted-space"/>
          <w:rFonts w:asciiTheme="minorHAnsi" w:hAnsiTheme="minorHAnsi"/>
          <w:b/>
          <w:bCs/>
          <w:sz w:val="24"/>
          <w:szCs w:val="24"/>
        </w:rPr>
      </w:pPr>
      <w:r w:rsidRPr="00847FC7">
        <w:rPr>
          <w:rFonts w:asciiTheme="minorHAnsi" w:hAnsiTheme="minorHAnsi"/>
          <w:sz w:val="24"/>
          <w:szCs w:val="24"/>
        </w:rPr>
        <w:t xml:space="preserve">Ce séminaire réunira </w:t>
      </w:r>
      <w:r w:rsidRPr="00847FC7">
        <w:rPr>
          <w:rFonts w:asciiTheme="minorHAnsi" w:hAnsiTheme="minorHAnsi"/>
          <w:bCs/>
          <w:sz w:val="24"/>
          <w:szCs w:val="24"/>
        </w:rPr>
        <w:t xml:space="preserve">des chercheurs et des professionnels invités à réfléchir collectivement à la fois sur la conception même du droit et </w:t>
      </w:r>
      <w:r w:rsidR="003408E9">
        <w:rPr>
          <w:rFonts w:asciiTheme="minorHAnsi" w:hAnsiTheme="minorHAnsi"/>
          <w:bCs/>
          <w:sz w:val="24"/>
          <w:szCs w:val="24"/>
        </w:rPr>
        <w:t>de la jurisprudence (</w:t>
      </w:r>
      <w:r w:rsidRPr="00847FC7">
        <w:rPr>
          <w:rFonts w:asciiTheme="minorHAnsi" w:hAnsiTheme="minorHAnsi"/>
          <w:bCs/>
          <w:sz w:val="24"/>
          <w:szCs w:val="24"/>
        </w:rPr>
        <w:t>renouvellement des modes de production du droit ?) ainsi malmenée et sur les effets à attendre des outils d’aide à la décision appelés à se développer</w:t>
      </w:r>
      <w:r w:rsidRPr="00847FC7">
        <w:rPr>
          <w:rFonts w:asciiTheme="minorHAnsi" w:hAnsiTheme="minorHAnsi"/>
          <w:sz w:val="24"/>
          <w:szCs w:val="24"/>
        </w:rPr>
        <w:t>. Il s’agit de s’interroger notamment sur les conséquences de ces nouveaux outils d’aide à la décision sur le traitement des affaires, s’agissant des contentieux de masse, de l’accroissement annoncé de la médiation, de l’évaluation des quantums ou du « profilage » des juges comme moyen de mise en évidence de l’incertitude du droit, en laissant</w:t>
      </w:r>
      <w:r w:rsidRPr="00847FC7">
        <w:rPr>
          <w:rStyle w:val="apple-converted-space"/>
          <w:rFonts w:asciiTheme="minorHAnsi" w:hAnsiTheme="minorHAnsi"/>
          <w:sz w:val="24"/>
          <w:szCs w:val="24"/>
        </w:rPr>
        <w:t xml:space="preserve"> volontairement de côté les enjeux de protection des données personnelles ainsi que les défis techniques qu’ils imposent. </w:t>
      </w:r>
    </w:p>
    <w:p w:rsidR="005E1AFB" w:rsidRPr="00847FC7" w:rsidRDefault="005E1AFB" w:rsidP="005E1AFB">
      <w:pPr>
        <w:pStyle w:val="p1"/>
        <w:tabs>
          <w:tab w:val="left" w:pos="1701"/>
        </w:tabs>
        <w:ind w:right="1275"/>
        <w:jc w:val="both"/>
        <w:rPr>
          <w:rStyle w:val="apple-converted-space"/>
          <w:rFonts w:asciiTheme="minorHAnsi" w:hAnsiTheme="minorHAnsi"/>
          <w:sz w:val="24"/>
          <w:szCs w:val="24"/>
        </w:rPr>
      </w:pPr>
    </w:p>
    <w:p w:rsidR="005E1AFB" w:rsidRPr="00847FC7" w:rsidRDefault="005E1AFB" w:rsidP="00847FC7">
      <w:pPr>
        <w:pStyle w:val="p1"/>
        <w:tabs>
          <w:tab w:val="left" w:pos="1701"/>
        </w:tabs>
        <w:ind w:right="1275"/>
        <w:jc w:val="both"/>
        <w:outlineLvl w:val="0"/>
        <w:rPr>
          <w:rStyle w:val="apple-converted-space"/>
          <w:rFonts w:asciiTheme="minorHAnsi" w:hAnsiTheme="minorHAnsi"/>
          <w:b/>
          <w:sz w:val="24"/>
          <w:szCs w:val="24"/>
        </w:rPr>
      </w:pPr>
      <w:r w:rsidRPr="00847FC7">
        <w:rPr>
          <w:rStyle w:val="apple-converted-space"/>
          <w:rFonts w:asciiTheme="minorHAnsi" w:hAnsiTheme="minorHAnsi"/>
          <w:b/>
          <w:sz w:val="24"/>
          <w:szCs w:val="24"/>
        </w:rPr>
        <w:t>ORGANISATION</w:t>
      </w:r>
      <w:r w:rsidR="00847FC7">
        <w:rPr>
          <w:rStyle w:val="apple-converted-space"/>
          <w:rFonts w:asciiTheme="minorHAnsi" w:hAnsiTheme="minorHAnsi"/>
          <w:b/>
          <w:sz w:val="24"/>
          <w:szCs w:val="24"/>
        </w:rPr>
        <w:t xml:space="preserve"> - </w:t>
      </w:r>
      <w:r w:rsidRPr="00847FC7">
        <w:rPr>
          <w:rStyle w:val="apple-converted-space"/>
          <w:rFonts w:asciiTheme="minorHAnsi" w:hAnsiTheme="minorHAnsi"/>
          <w:sz w:val="24"/>
          <w:szCs w:val="24"/>
        </w:rPr>
        <w:t>Ce séminaire prendra la forme d’une ou plusieurs journées, organisées à Lyon au cours des années 2018-2019.</w:t>
      </w:r>
    </w:p>
    <w:p w:rsidR="005E1AFB" w:rsidRPr="00847FC7" w:rsidRDefault="005E1AFB" w:rsidP="005E1AFB">
      <w:pPr>
        <w:pStyle w:val="p1"/>
        <w:tabs>
          <w:tab w:val="left" w:pos="1701"/>
        </w:tabs>
        <w:ind w:right="1275"/>
        <w:jc w:val="both"/>
        <w:rPr>
          <w:rStyle w:val="apple-converted-space"/>
          <w:rFonts w:asciiTheme="minorHAnsi" w:hAnsiTheme="minorHAnsi"/>
          <w:sz w:val="24"/>
          <w:szCs w:val="24"/>
        </w:rPr>
      </w:pPr>
      <w:r w:rsidRPr="00847FC7">
        <w:rPr>
          <w:rStyle w:val="apple-converted-space"/>
          <w:rFonts w:asciiTheme="minorHAnsi" w:hAnsiTheme="minorHAnsi"/>
          <w:sz w:val="24"/>
          <w:szCs w:val="24"/>
        </w:rPr>
        <w:t>Leur programme sera construit à partir des communications suscitées par cet appel à contributions, qu’il s’agisse de contributions originales ou de textes rédigés par ailleurs, par vous ou par d’autres et qu’il vous aura semblé pertinent de soumettre à la discussion.</w:t>
      </w:r>
    </w:p>
    <w:p w:rsidR="005E1AFB" w:rsidRPr="00847FC7" w:rsidRDefault="00E5464E" w:rsidP="005E1AFB">
      <w:pPr>
        <w:pStyle w:val="p1"/>
        <w:tabs>
          <w:tab w:val="left" w:pos="1701"/>
        </w:tabs>
        <w:ind w:right="1275"/>
        <w:jc w:val="both"/>
        <w:rPr>
          <w:rStyle w:val="apple-converted-space"/>
          <w:rFonts w:asciiTheme="minorHAnsi" w:hAnsiTheme="minorHAnsi"/>
          <w:sz w:val="24"/>
          <w:szCs w:val="24"/>
        </w:rPr>
      </w:pPr>
      <w:r>
        <w:rPr>
          <w:rStyle w:val="apple-converted-space"/>
          <w:rFonts w:asciiTheme="minorHAnsi" w:hAnsiTheme="minorHAnsi"/>
          <w:sz w:val="24"/>
          <w:szCs w:val="24"/>
        </w:rPr>
        <w:t>Dans la mesure du possible, p</w:t>
      </w:r>
      <w:r w:rsidR="005E1AFB" w:rsidRPr="00847FC7">
        <w:rPr>
          <w:rStyle w:val="apple-converted-space"/>
          <w:rFonts w:asciiTheme="minorHAnsi" w:hAnsiTheme="minorHAnsi"/>
          <w:sz w:val="24"/>
          <w:szCs w:val="24"/>
        </w:rPr>
        <w:t>our chacune des contributions</w:t>
      </w:r>
      <w:bookmarkStart w:id="0" w:name="_GoBack"/>
      <w:bookmarkEnd w:id="0"/>
      <w:r w:rsidR="005E1AFB" w:rsidRPr="00847FC7">
        <w:rPr>
          <w:rStyle w:val="apple-converted-space"/>
          <w:rFonts w:asciiTheme="minorHAnsi" w:hAnsiTheme="minorHAnsi"/>
          <w:sz w:val="24"/>
          <w:szCs w:val="24"/>
        </w:rPr>
        <w:t xml:space="preserve"> originales ou des textes proposés, un discutant sera désigné. Les participants au séminaire seront donc également sollicités pour jouer le rôle de discutant.</w:t>
      </w:r>
    </w:p>
    <w:p w:rsidR="005E1AFB" w:rsidRPr="00847FC7" w:rsidRDefault="00847FC7" w:rsidP="005E1AFB">
      <w:pPr>
        <w:pStyle w:val="p1"/>
        <w:tabs>
          <w:tab w:val="left" w:pos="1701"/>
        </w:tabs>
        <w:ind w:right="1275"/>
        <w:jc w:val="both"/>
        <w:rPr>
          <w:rStyle w:val="apple-converted-space"/>
          <w:rFonts w:asciiTheme="minorHAnsi" w:hAnsiTheme="minorHAnsi"/>
          <w:sz w:val="24"/>
          <w:szCs w:val="24"/>
        </w:rPr>
      </w:pPr>
      <w:r>
        <w:rPr>
          <w:rStyle w:val="apple-converted-space"/>
          <w:rFonts w:asciiTheme="minorHAnsi" w:hAnsiTheme="minorHAnsi"/>
          <w:sz w:val="24"/>
          <w:szCs w:val="24"/>
        </w:rPr>
        <w:t xml:space="preserve">A défaut d’autre solution, </w:t>
      </w:r>
      <w:r w:rsidR="003408E9">
        <w:rPr>
          <w:rStyle w:val="apple-converted-space"/>
          <w:rFonts w:asciiTheme="minorHAnsi" w:hAnsiTheme="minorHAnsi"/>
          <w:sz w:val="24"/>
          <w:szCs w:val="24"/>
        </w:rPr>
        <w:t xml:space="preserve">la </w:t>
      </w:r>
      <w:r w:rsidR="005E1AFB" w:rsidRPr="00847FC7">
        <w:rPr>
          <w:rStyle w:val="apple-converted-space"/>
          <w:rFonts w:asciiTheme="minorHAnsi" w:hAnsiTheme="minorHAnsi"/>
          <w:sz w:val="24"/>
          <w:szCs w:val="24"/>
        </w:rPr>
        <w:t>prise en charge des frais de déplacement des participants est possible.</w:t>
      </w:r>
    </w:p>
    <w:p w:rsidR="005E1AFB" w:rsidRPr="00847FC7" w:rsidRDefault="005E1AFB" w:rsidP="005E1AFB">
      <w:pPr>
        <w:pStyle w:val="p1"/>
        <w:tabs>
          <w:tab w:val="left" w:pos="1701"/>
        </w:tabs>
        <w:ind w:right="1275"/>
        <w:jc w:val="both"/>
        <w:rPr>
          <w:rStyle w:val="apple-converted-space"/>
          <w:rFonts w:asciiTheme="minorHAnsi" w:hAnsiTheme="minorHAnsi"/>
          <w:sz w:val="24"/>
          <w:szCs w:val="24"/>
        </w:rPr>
      </w:pPr>
    </w:p>
    <w:p w:rsidR="005E1AFB" w:rsidRPr="00847FC7" w:rsidRDefault="005E1AFB" w:rsidP="00847FC7">
      <w:pPr>
        <w:pStyle w:val="p1"/>
        <w:tabs>
          <w:tab w:val="left" w:pos="1701"/>
        </w:tabs>
        <w:ind w:right="1275"/>
        <w:jc w:val="both"/>
        <w:outlineLvl w:val="0"/>
        <w:rPr>
          <w:rStyle w:val="apple-converted-space"/>
          <w:rFonts w:asciiTheme="minorHAnsi" w:hAnsiTheme="minorHAnsi"/>
          <w:b/>
          <w:color w:val="000000" w:themeColor="text1"/>
          <w:sz w:val="24"/>
          <w:szCs w:val="24"/>
        </w:rPr>
      </w:pPr>
      <w:r w:rsidRPr="00847FC7">
        <w:rPr>
          <w:rStyle w:val="apple-converted-space"/>
          <w:rFonts w:asciiTheme="minorHAnsi" w:hAnsiTheme="minorHAnsi"/>
          <w:b/>
          <w:color w:val="000000" w:themeColor="text1"/>
          <w:sz w:val="24"/>
          <w:szCs w:val="24"/>
        </w:rPr>
        <w:t>CALENDRIER</w:t>
      </w:r>
      <w:r w:rsidR="00847FC7">
        <w:rPr>
          <w:rStyle w:val="apple-converted-space"/>
          <w:rFonts w:asciiTheme="minorHAnsi" w:hAnsiTheme="minorHAnsi"/>
          <w:b/>
          <w:color w:val="000000" w:themeColor="text1"/>
          <w:sz w:val="24"/>
          <w:szCs w:val="24"/>
        </w:rPr>
        <w:t xml:space="preserve"> - </w:t>
      </w:r>
      <w:r w:rsidRPr="00847FC7">
        <w:rPr>
          <w:rStyle w:val="apple-converted-space"/>
          <w:rFonts w:asciiTheme="minorHAnsi" w:hAnsiTheme="minorHAnsi"/>
          <w:color w:val="000000" w:themeColor="text1"/>
          <w:sz w:val="24"/>
          <w:szCs w:val="24"/>
        </w:rPr>
        <w:t xml:space="preserve">Les propositions de contributions </w:t>
      </w:r>
      <w:r w:rsidR="00847FC7">
        <w:rPr>
          <w:rStyle w:val="apple-converted-space"/>
          <w:rFonts w:asciiTheme="minorHAnsi" w:hAnsiTheme="minorHAnsi"/>
          <w:color w:val="000000" w:themeColor="text1"/>
          <w:sz w:val="24"/>
          <w:szCs w:val="24"/>
        </w:rPr>
        <w:t xml:space="preserve">(6000 car. max.) </w:t>
      </w:r>
      <w:r w:rsidRPr="00847FC7">
        <w:rPr>
          <w:rStyle w:val="apple-converted-space"/>
          <w:rFonts w:asciiTheme="minorHAnsi" w:hAnsiTheme="minorHAnsi"/>
          <w:color w:val="000000" w:themeColor="text1"/>
          <w:sz w:val="24"/>
          <w:szCs w:val="24"/>
        </w:rPr>
        <w:t xml:space="preserve">sont attendues au plus tard le </w:t>
      </w:r>
      <w:r w:rsidRPr="00847FC7">
        <w:rPr>
          <w:rStyle w:val="apple-converted-space"/>
          <w:rFonts w:asciiTheme="minorHAnsi" w:hAnsiTheme="minorHAnsi"/>
          <w:b/>
          <w:color w:val="000000" w:themeColor="text1"/>
          <w:sz w:val="24"/>
          <w:szCs w:val="24"/>
        </w:rPr>
        <w:t>31 mars 2018.</w:t>
      </w:r>
    </w:p>
    <w:p w:rsidR="005E1AFB" w:rsidRPr="00847FC7" w:rsidRDefault="005E1AFB" w:rsidP="005E1AFB">
      <w:pPr>
        <w:pStyle w:val="p1"/>
        <w:tabs>
          <w:tab w:val="left" w:pos="1701"/>
        </w:tabs>
        <w:ind w:right="1275"/>
        <w:jc w:val="both"/>
        <w:rPr>
          <w:rStyle w:val="apple-converted-space"/>
          <w:rFonts w:asciiTheme="minorHAnsi" w:hAnsiTheme="minorHAnsi"/>
          <w:color w:val="000000" w:themeColor="text1"/>
          <w:sz w:val="24"/>
          <w:szCs w:val="24"/>
        </w:rPr>
      </w:pPr>
      <w:r w:rsidRPr="00847FC7">
        <w:rPr>
          <w:rStyle w:val="apple-converted-space"/>
          <w:rFonts w:asciiTheme="minorHAnsi" w:hAnsiTheme="minorHAnsi"/>
          <w:color w:val="000000" w:themeColor="text1"/>
          <w:sz w:val="24"/>
          <w:szCs w:val="24"/>
        </w:rPr>
        <w:t xml:space="preserve">Elles devront indiquer brièvement la ou les questions qui seront abordées et être </w:t>
      </w:r>
      <w:proofErr w:type="gramStart"/>
      <w:r w:rsidRPr="00847FC7">
        <w:rPr>
          <w:rStyle w:val="apple-converted-space"/>
          <w:rFonts w:asciiTheme="minorHAnsi" w:hAnsiTheme="minorHAnsi"/>
          <w:color w:val="000000" w:themeColor="text1"/>
          <w:sz w:val="24"/>
          <w:szCs w:val="24"/>
        </w:rPr>
        <w:t>adressées  à</w:t>
      </w:r>
      <w:proofErr w:type="gramEnd"/>
      <w:r w:rsidRPr="00847FC7">
        <w:rPr>
          <w:rStyle w:val="apple-converted-space"/>
          <w:rFonts w:asciiTheme="minorHAnsi" w:hAnsiTheme="minorHAnsi"/>
          <w:color w:val="000000" w:themeColor="text1"/>
          <w:sz w:val="24"/>
          <w:szCs w:val="24"/>
        </w:rPr>
        <w:t xml:space="preserve"> Isabelle </w:t>
      </w:r>
      <w:proofErr w:type="spellStart"/>
      <w:r w:rsidRPr="00847FC7">
        <w:rPr>
          <w:rStyle w:val="apple-converted-space"/>
          <w:rFonts w:asciiTheme="minorHAnsi" w:hAnsiTheme="minorHAnsi"/>
          <w:color w:val="000000" w:themeColor="text1"/>
          <w:sz w:val="24"/>
          <w:szCs w:val="24"/>
        </w:rPr>
        <w:t>Sayn</w:t>
      </w:r>
      <w:proofErr w:type="spellEnd"/>
      <w:r w:rsidRPr="00847FC7">
        <w:rPr>
          <w:rStyle w:val="apple-converted-space"/>
          <w:rFonts w:asciiTheme="minorHAnsi" w:hAnsiTheme="minorHAnsi"/>
          <w:color w:val="000000" w:themeColor="text1"/>
          <w:sz w:val="24"/>
          <w:szCs w:val="24"/>
        </w:rPr>
        <w:t xml:space="preserve"> &lt;</w:t>
      </w:r>
      <w:r w:rsidRPr="00847FC7">
        <w:rPr>
          <w:sz w:val="24"/>
          <w:szCs w:val="24"/>
        </w:rPr>
        <w:t xml:space="preserve"> </w:t>
      </w:r>
      <w:hyperlink r:id="rId6" w:history="1">
        <w:r w:rsidRPr="00847FC7">
          <w:rPr>
            <w:rStyle w:val="Lienhypertexte"/>
            <w:rFonts w:asciiTheme="minorHAnsi" w:hAnsiTheme="minorHAnsi"/>
            <w:sz w:val="24"/>
            <w:szCs w:val="24"/>
          </w:rPr>
          <w:t>isabelle.sayn@cnrs.fr</w:t>
        </w:r>
      </w:hyperlink>
      <w:r w:rsidRPr="00847FC7">
        <w:rPr>
          <w:rStyle w:val="apple-converted-space"/>
          <w:rFonts w:asciiTheme="minorHAnsi" w:hAnsiTheme="minorHAnsi"/>
          <w:color w:val="000000" w:themeColor="text1"/>
          <w:sz w:val="24"/>
          <w:szCs w:val="24"/>
        </w:rPr>
        <w:t>&gt;</w:t>
      </w:r>
      <w:r w:rsidR="00B635AF">
        <w:rPr>
          <w:rStyle w:val="apple-converted-space"/>
          <w:rFonts w:asciiTheme="minorHAnsi" w:hAnsiTheme="minorHAnsi"/>
          <w:color w:val="000000" w:themeColor="text1"/>
          <w:sz w:val="24"/>
          <w:szCs w:val="24"/>
        </w:rPr>
        <w:t xml:space="preserve"> ou </w:t>
      </w:r>
      <w:r w:rsidR="00B635AF" w:rsidRPr="00847FC7">
        <w:rPr>
          <w:rStyle w:val="apple-converted-space"/>
          <w:rFonts w:asciiTheme="minorHAnsi" w:hAnsiTheme="minorHAnsi"/>
          <w:color w:val="000000" w:themeColor="text1"/>
          <w:sz w:val="24"/>
          <w:szCs w:val="24"/>
        </w:rPr>
        <w:t>à Marianne Cottin &lt;</w:t>
      </w:r>
      <w:hyperlink r:id="rId7" w:history="1">
        <w:r w:rsidR="00B635AF" w:rsidRPr="00AD3990">
          <w:rPr>
            <w:rStyle w:val="Lienhypertexte"/>
            <w:rFonts w:asciiTheme="minorHAnsi" w:hAnsiTheme="minorHAnsi"/>
            <w:sz w:val="24"/>
            <w:szCs w:val="24"/>
          </w:rPr>
          <w:t>marianne.cottin@univ-st-etienne.fr</w:t>
        </w:r>
      </w:hyperlink>
      <w:r w:rsidR="00B635AF" w:rsidRPr="00847FC7">
        <w:rPr>
          <w:rStyle w:val="apple-converted-space"/>
          <w:rFonts w:asciiTheme="minorHAnsi" w:hAnsiTheme="minorHAnsi"/>
          <w:color w:val="000000" w:themeColor="text1"/>
          <w:sz w:val="24"/>
          <w:szCs w:val="24"/>
        </w:rPr>
        <w:t>&gt;</w:t>
      </w:r>
      <w:r w:rsidR="00B635AF">
        <w:rPr>
          <w:rStyle w:val="apple-converted-space"/>
          <w:rFonts w:asciiTheme="minorHAnsi" w:hAnsiTheme="minorHAnsi"/>
          <w:color w:val="000000" w:themeColor="text1"/>
          <w:sz w:val="24"/>
          <w:szCs w:val="24"/>
        </w:rPr>
        <w:t>.</w:t>
      </w:r>
    </w:p>
    <w:p w:rsidR="005E1AFB" w:rsidRPr="00847FC7" w:rsidRDefault="005E1AFB" w:rsidP="005E1AFB">
      <w:pPr>
        <w:pStyle w:val="p1"/>
        <w:tabs>
          <w:tab w:val="left" w:pos="1701"/>
        </w:tabs>
        <w:ind w:right="1275"/>
        <w:jc w:val="both"/>
        <w:rPr>
          <w:rStyle w:val="apple-converted-space"/>
          <w:rFonts w:asciiTheme="minorHAnsi" w:hAnsiTheme="minorHAnsi"/>
          <w:color w:val="000000" w:themeColor="text1"/>
          <w:sz w:val="24"/>
          <w:szCs w:val="24"/>
        </w:rPr>
      </w:pPr>
    </w:p>
    <w:p w:rsidR="00AE7F28" w:rsidRPr="00847FC7" w:rsidRDefault="005E1AFB" w:rsidP="005E1AFB">
      <w:pPr>
        <w:pStyle w:val="p1"/>
        <w:tabs>
          <w:tab w:val="left" w:pos="1701"/>
        </w:tabs>
        <w:ind w:right="1275"/>
        <w:jc w:val="both"/>
        <w:outlineLvl w:val="0"/>
        <w:rPr>
          <w:rStyle w:val="apple-converted-space"/>
          <w:rFonts w:asciiTheme="minorHAnsi" w:hAnsiTheme="minorHAnsi"/>
          <w:b/>
          <w:color w:val="000000" w:themeColor="text1"/>
          <w:sz w:val="24"/>
          <w:szCs w:val="24"/>
        </w:rPr>
      </w:pPr>
      <w:r w:rsidRPr="00847FC7">
        <w:rPr>
          <w:rStyle w:val="apple-converted-space"/>
          <w:rFonts w:asciiTheme="minorHAnsi" w:hAnsiTheme="minorHAnsi"/>
          <w:b/>
          <w:color w:val="000000" w:themeColor="text1"/>
          <w:sz w:val="24"/>
          <w:szCs w:val="24"/>
        </w:rPr>
        <w:t>Une première session au moins est prévue avant l’été</w:t>
      </w:r>
    </w:p>
    <w:p w:rsidR="005E1AFB" w:rsidRPr="00847FC7" w:rsidRDefault="005E1AFB" w:rsidP="00847FC7">
      <w:pPr>
        <w:pStyle w:val="p1"/>
        <w:tabs>
          <w:tab w:val="left" w:pos="1701"/>
        </w:tabs>
        <w:ind w:right="1275"/>
        <w:jc w:val="right"/>
        <w:outlineLvl w:val="0"/>
        <w:rPr>
          <w:rStyle w:val="apple-converted-space"/>
          <w:rFonts w:asciiTheme="minorHAnsi" w:hAnsiTheme="minorHAnsi"/>
          <w:sz w:val="24"/>
          <w:szCs w:val="24"/>
        </w:rPr>
      </w:pPr>
      <w:r w:rsidRPr="00847FC7">
        <w:rPr>
          <w:rStyle w:val="apple-converted-space"/>
          <w:rFonts w:asciiTheme="minorHAnsi" w:hAnsiTheme="minorHAnsi"/>
          <w:sz w:val="24"/>
          <w:szCs w:val="24"/>
        </w:rPr>
        <w:t>N’hésitez pas à diff</w:t>
      </w:r>
      <w:r w:rsidR="003408E9">
        <w:rPr>
          <w:rStyle w:val="apple-converted-space"/>
          <w:rFonts w:asciiTheme="minorHAnsi" w:hAnsiTheme="minorHAnsi"/>
          <w:sz w:val="24"/>
          <w:szCs w:val="24"/>
        </w:rPr>
        <w:t>user cet appel à contributions.</w:t>
      </w:r>
    </w:p>
    <w:p w:rsidR="00943251" w:rsidRDefault="00943251"/>
    <w:sectPr w:rsidR="00943251" w:rsidSect="005E1AFB">
      <w:headerReference w:type="even" r:id="rId8"/>
      <w:headerReference w:type="default" r:id="rId9"/>
      <w:footerReference w:type="even" r:id="rId10"/>
      <w:footerReference w:type="default" r:id="rId11"/>
      <w:headerReference w:type="first" r:id="rId12"/>
      <w:footerReference w:type="first" r:id="rId13"/>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D36" w:rsidRDefault="00152D36" w:rsidP="005E1AFB">
      <w:pPr>
        <w:spacing w:after="0" w:line="240" w:lineRule="auto"/>
      </w:pPr>
      <w:r>
        <w:separator/>
      </w:r>
    </w:p>
  </w:endnote>
  <w:endnote w:type="continuationSeparator" w:id="0">
    <w:p w:rsidR="00152D36" w:rsidRDefault="00152D36" w:rsidP="005E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3A" w:rsidRDefault="00C63D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FB" w:rsidRPr="005E1AFB" w:rsidRDefault="000B4C06" w:rsidP="00C63D3A">
    <w:pPr>
      <w:tabs>
        <w:tab w:val="left" w:pos="8505"/>
      </w:tabs>
      <w:spacing w:after="0" w:line="240" w:lineRule="auto"/>
      <w:ind w:right="-715"/>
      <w:rPr>
        <w:rFonts w:ascii="Times New Roman" w:eastAsia="Times New Roman" w:hAnsi="Times New Roman" w:cs="Times New Roman"/>
        <w:sz w:val="24"/>
        <w:szCs w:val="24"/>
        <w:lang w:eastAsia="fr-FR"/>
      </w:rPr>
    </w:pPr>
    <w:r>
      <w:rPr>
        <w:noProof/>
      </w:rPr>
      <w:t>Lyon, le 15 février 2018</w:t>
    </w:r>
    <w:r w:rsidR="005E1AFB" w:rsidRPr="005E1AFB">
      <w:rPr>
        <w:noProof/>
      </w:rPr>
      <w:t xml:space="preserve"> </w:t>
    </w:r>
    <w:r w:rsidR="005E1AFB" w:rsidRPr="005E1AFB">
      <w:t xml:space="preserve"> </w:t>
    </w:r>
  </w:p>
  <w:p w:rsidR="005E1AFB" w:rsidRDefault="005E1A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3A" w:rsidRDefault="00C63D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D36" w:rsidRDefault="00152D36" w:rsidP="005E1AFB">
      <w:pPr>
        <w:spacing w:after="0" w:line="240" w:lineRule="auto"/>
      </w:pPr>
      <w:r>
        <w:separator/>
      </w:r>
    </w:p>
  </w:footnote>
  <w:footnote w:type="continuationSeparator" w:id="0">
    <w:p w:rsidR="00152D36" w:rsidRDefault="00152D36" w:rsidP="005E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3A" w:rsidRDefault="00C63D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FB" w:rsidRDefault="00847FC7" w:rsidP="00847FC7">
    <w:pPr>
      <w:pStyle w:val="En-tte"/>
      <w:rPr>
        <w:rFonts w:ascii="Times New Roman" w:eastAsia="Times New Roman" w:hAnsi="Times New Roman" w:cs="Times New Roman"/>
        <w:sz w:val="24"/>
        <w:szCs w:val="24"/>
        <w:lang w:eastAsia="fr-FR"/>
      </w:rPr>
    </w:pPr>
    <w:r w:rsidRPr="005E1AFB">
      <w:rPr>
        <w:rFonts w:ascii="Times New Roman" w:eastAsia="Times New Roman" w:hAnsi="Times New Roman" w:cs="Times New Roman"/>
        <w:sz w:val="24"/>
        <w:szCs w:val="24"/>
        <w:lang w:eastAsia="fr-FR"/>
      </w:rPr>
      <w:fldChar w:fldCharType="begin"/>
    </w:r>
    <w:r w:rsidRPr="005E1AFB">
      <w:rPr>
        <w:rFonts w:ascii="Times New Roman" w:eastAsia="Times New Roman" w:hAnsi="Times New Roman" w:cs="Times New Roman"/>
        <w:sz w:val="24"/>
        <w:szCs w:val="24"/>
        <w:lang w:eastAsia="fr-FR"/>
      </w:rPr>
      <w:instrText xml:space="preserve"> INCLUDEPICTURE "https://www.ish-lyon.cnrs.fr/sites/all/themes/ish/logo.png" \* MERGEFORMATINET </w:instrText>
    </w:r>
    <w:r w:rsidRPr="005E1AFB">
      <w:rPr>
        <w:rFonts w:ascii="Times New Roman" w:eastAsia="Times New Roman" w:hAnsi="Times New Roman" w:cs="Times New Roman"/>
        <w:sz w:val="24"/>
        <w:szCs w:val="24"/>
        <w:lang w:eastAsia="fr-FR"/>
      </w:rPr>
      <w:fldChar w:fldCharType="separate"/>
    </w:r>
    <w:r w:rsidRPr="005E1AFB">
      <w:rPr>
        <w:rFonts w:ascii="Times New Roman" w:eastAsia="Times New Roman" w:hAnsi="Times New Roman" w:cs="Times New Roman"/>
        <w:noProof/>
        <w:sz w:val="24"/>
        <w:szCs w:val="24"/>
        <w:lang w:eastAsia="fr-FR"/>
      </w:rPr>
      <w:drawing>
        <wp:inline distT="0" distB="0" distL="0" distR="0" wp14:anchorId="573A0693" wp14:editId="681B0E1E">
          <wp:extent cx="2301240" cy="1255222"/>
          <wp:effectExtent l="0" t="0" r="0" b="0"/>
          <wp:docPr id="3" name="Image 3"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810" cy="1264260"/>
                  </a:xfrm>
                  <a:prstGeom prst="rect">
                    <a:avLst/>
                  </a:prstGeom>
                  <a:noFill/>
                  <a:ln>
                    <a:noFill/>
                  </a:ln>
                </pic:spPr>
              </pic:pic>
            </a:graphicData>
          </a:graphic>
        </wp:inline>
      </w:drawing>
    </w:r>
    <w:r w:rsidRPr="005E1AFB">
      <w:rPr>
        <w:rFonts w:ascii="Times New Roman" w:eastAsia="Times New Roman" w:hAnsi="Times New Roman" w:cs="Times New Roman"/>
        <w:sz w:val="24"/>
        <w:szCs w:val="24"/>
        <w:lang w:eastAsia="fr-FR"/>
      </w:rPr>
      <w:fldChar w:fldCharType="end"/>
    </w:r>
  </w:p>
  <w:p w:rsidR="00847FC7" w:rsidRPr="00847FC7" w:rsidRDefault="00847FC7" w:rsidP="00847F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3A" w:rsidRDefault="00C63D3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FB"/>
    <w:rsid w:val="000B4C06"/>
    <w:rsid w:val="00152D36"/>
    <w:rsid w:val="00172DAE"/>
    <w:rsid w:val="00240D7A"/>
    <w:rsid w:val="002D7C52"/>
    <w:rsid w:val="003408E9"/>
    <w:rsid w:val="003522C4"/>
    <w:rsid w:val="003C24E0"/>
    <w:rsid w:val="0043744F"/>
    <w:rsid w:val="00563389"/>
    <w:rsid w:val="005E1AFB"/>
    <w:rsid w:val="00643F1A"/>
    <w:rsid w:val="0075493D"/>
    <w:rsid w:val="00826F3C"/>
    <w:rsid w:val="00847FC7"/>
    <w:rsid w:val="00943251"/>
    <w:rsid w:val="009C30EF"/>
    <w:rsid w:val="00AE7F28"/>
    <w:rsid w:val="00B635AF"/>
    <w:rsid w:val="00B70B76"/>
    <w:rsid w:val="00BB5FC0"/>
    <w:rsid w:val="00C63D3A"/>
    <w:rsid w:val="00CC5D22"/>
    <w:rsid w:val="00CF3F1D"/>
    <w:rsid w:val="00E1086E"/>
    <w:rsid w:val="00E5464E"/>
    <w:rsid w:val="00EB6835"/>
    <w:rsid w:val="00EF5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F991"/>
  <w15:docId w15:val="{86E759E0-3C34-644B-B19A-C2853752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w:qFormat/>
    <w:rsid w:val="005E1AFB"/>
    <w:pPr>
      <w:spacing w:after="160" w:line="259" w:lineRule="auto"/>
    </w:pPr>
    <w:rPr>
      <w:sz w:val="22"/>
      <w:szCs w:val="22"/>
    </w:rPr>
  </w:style>
  <w:style w:type="paragraph" w:styleId="Titre2">
    <w:name w:val="heading 2"/>
    <w:basedOn w:val="Normal"/>
    <w:next w:val="Normal"/>
    <w:link w:val="Titre2Car"/>
    <w:autoRedefine/>
    <w:uiPriority w:val="9"/>
    <w:unhideWhenUsed/>
    <w:qFormat/>
    <w:rsid w:val="00B70B76"/>
    <w:pPr>
      <w:keepNext/>
      <w:keepLines/>
      <w:spacing w:before="200" w:after="120" w:line="240" w:lineRule="auto"/>
      <w:jc w:val="both"/>
      <w:outlineLvl w:val="1"/>
    </w:pPr>
    <w:rPr>
      <w:rFonts w:ascii="Times New Roman" w:eastAsiaTheme="majorEastAsia" w:hAnsi="Times New Roman" w:cstheme="majorBidi"/>
      <w:b/>
      <w:bCs/>
      <w:smallCaps/>
      <w:color w:val="4472C4" w:themeColor="accent1"/>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0B76"/>
    <w:rPr>
      <w:rFonts w:asciiTheme="majorHAnsi" w:eastAsiaTheme="majorEastAsia" w:hAnsiTheme="majorHAnsi" w:cstheme="majorBidi"/>
      <w:b/>
      <w:bCs/>
      <w:smallCaps/>
      <w:color w:val="4472C4" w:themeColor="accent1"/>
      <w:sz w:val="26"/>
      <w:szCs w:val="26"/>
    </w:rPr>
  </w:style>
  <w:style w:type="paragraph" w:customStyle="1" w:styleId="titre5">
    <w:name w:val="titre 5"/>
    <w:basedOn w:val="Normal"/>
    <w:autoRedefine/>
    <w:uiPriority w:val="1"/>
    <w:qFormat/>
    <w:rsid w:val="003C24E0"/>
    <w:pPr>
      <w:spacing w:before="218" w:after="120" w:line="240" w:lineRule="auto"/>
      <w:jc w:val="both"/>
    </w:pPr>
    <w:rPr>
      <w:rFonts w:ascii="Times New Roman" w:hAnsi="Times New Roman" w:cs="Times New Roman"/>
      <w:i/>
      <w:sz w:val="24"/>
      <w:szCs w:val="24"/>
      <w:lang w:eastAsia="fr-FR"/>
    </w:rPr>
  </w:style>
  <w:style w:type="paragraph" w:styleId="Sansinterligne">
    <w:name w:val="No Spacing"/>
    <w:aliases w:val="notes de bas de page"/>
    <w:autoRedefine/>
    <w:uiPriority w:val="1"/>
    <w:qFormat/>
    <w:rsid w:val="00EB6835"/>
    <w:pPr>
      <w:spacing w:before="120" w:after="120"/>
      <w:jc w:val="both"/>
    </w:pPr>
    <w:rPr>
      <w:rFonts w:ascii="Times New Roman" w:hAnsi="Times New Roman" w:cs="Times New Roman"/>
      <w:lang w:eastAsia="fr-FR"/>
    </w:rPr>
  </w:style>
  <w:style w:type="paragraph" w:customStyle="1" w:styleId="p1">
    <w:name w:val="p1"/>
    <w:basedOn w:val="Normal"/>
    <w:rsid w:val="005E1AFB"/>
    <w:pPr>
      <w:spacing w:after="0" w:line="240" w:lineRule="auto"/>
    </w:pPr>
    <w:rPr>
      <w:rFonts w:ascii="Times New Roman" w:hAnsi="Times New Roman" w:cs="Times New Roman"/>
      <w:sz w:val="17"/>
      <w:szCs w:val="17"/>
      <w:lang w:eastAsia="fr-FR"/>
    </w:rPr>
  </w:style>
  <w:style w:type="character" w:customStyle="1" w:styleId="s1">
    <w:name w:val="s1"/>
    <w:basedOn w:val="Policepardfaut"/>
    <w:rsid w:val="005E1AFB"/>
    <w:rPr>
      <w:rFonts w:ascii="Cambria" w:hAnsi="Cambria" w:hint="default"/>
      <w:sz w:val="17"/>
      <w:szCs w:val="17"/>
    </w:rPr>
  </w:style>
  <w:style w:type="character" w:customStyle="1" w:styleId="apple-converted-space">
    <w:name w:val="apple-converted-space"/>
    <w:basedOn w:val="Policepardfaut"/>
    <w:rsid w:val="005E1AFB"/>
  </w:style>
  <w:style w:type="character" w:styleId="Lienhypertexte">
    <w:name w:val="Hyperlink"/>
    <w:basedOn w:val="Policepardfaut"/>
    <w:uiPriority w:val="99"/>
    <w:unhideWhenUsed/>
    <w:rsid w:val="005E1AFB"/>
    <w:rPr>
      <w:color w:val="0563C1" w:themeColor="hyperlink"/>
      <w:u w:val="single"/>
    </w:rPr>
  </w:style>
  <w:style w:type="paragraph" w:styleId="En-tte">
    <w:name w:val="header"/>
    <w:basedOn w:val="Normal"/>
    <w:link w:val="En-tteCar"/>
    <w:uiPriority w:val="99"/>
    <w:unhideWhenUsed/>
    <w:rsid w:val="005E1AFB"/>
    <w:pPr>
      <w:tabs>
        <w:tab w:val="center" w:pos="4536"/>
        <w:tab w:val="right" w:pos="9072"/>
      </w:tabs>
      <w:spacing w:after="0" w:line="240" w:lineRule="auto"/>
    </w:pPr>
  </w:style>
  <w:style w:type="character" w:customStyle="1" w:styleId="En-tteCar">
    <w:name w:val="En-tête Car"/>
    <w:basedOn w:val="Policepardfaut"/>
    <w:link w:val="En-tte"/>
    <w:uiPriority w:val="99"/>
    <w:rsid w:val="005E1AFB"/>
    <w:rPr>
      <w:sz w:val="22"/>
      <w:szCs w:val="22"/>
    </w:rPr>
  </w:style>
  <w:style w:type="paragraph" w:styleId="Pieddepage">
    <w:name w:val="footer"/>
    <w:basedOn w:val="Normal"/>
    <w:link w:val="PieddepageCar"/>
    <w:uiPriority w:val="99"/>
    <w:unhideWhenUsed/>
    <w:rsid w:val="005E1A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1AFB"/>
    <w:rPr>
      <w:sz w:val="22"/>
      <w:szCs w:val="22"/>
    </w:rPr>
  </w:style>
  <w:style w:type="character" w:customStyle="1" w:styleId="Mentionnonrsolue1">
    <w:name w:val="Mention non résolue1"/>
    <w:basedOn w:val="Policepardfaut"/>
    <w:uiPriority w:val="99"/>
    <w:rsid w:val="00AE7F28"/>
    <w:rPr>
      <w:color w:val="808080"/>
      <w:shd w:val="clear" w:color="auto" w:fill="E6E6E6"/>
    </w:rPr>
  </w:style>
  <w:style w:type="character" w:styleId="Lienhypertextesuivivisit">
    <w:name w:val="FollowedHyperlink"/>
    <w:basedOn w:val="Policepardfaut"/>
    <w:uiPriority w:val="99"/>
    <w:semiHidden/>
    <w:unhideWhenUsed/>
    <w:rsid w:val="00AE7F28"/>
    <w:rPr>
      <w:color w:val="954F72" w:themeColor="followedHyperlink"/>
      <w:u w:val="single"/>
    </w:rPr>
  </w:style>
  <w:style w:type="paragraph" w:styleId="Textedebulles">
    <w:name w:val="Balloon Text"/>
    <w:basedOn w:val="Normal"/>
    <w:link w:val="TextedebullesCar"/>
    <w:uiPriority w:val="99"/>
    <w:semiHidden/>
    <w:unhideWhenUsed/>
    <w:rsid w:val="00E10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0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rianne.cottin@univ-st-etienne.f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belle.sayn@cnrs.f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4326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Utilisateur Microsoft Office</cp:lastModifiedBy>
  <cp:revision>3</cp:revision>
  <dcterms:created xsi:type="dcterms:W3CDTF">2018-02-16T12:30:00Z</dcterms:created>
  <dcterms:modified xsi:type="dcterms:W3CDTF">2018-02-16T12:32:00Z</dcterms:modified>
</cp:coreProperties>
</file>