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General Laws</w:t>
      </w:r>
    </w:p>
    <w:p w:rsidR="00000000" w:rsidDel="00000000" w:rsidP="00000000" w:rsidRDefault="00000000" w:rsidRPr="00000000" w14:paraId="000000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Law amending the Myanmar Mines Law (2015). Amendment of the 1994 Mining Law but not clear if it is currently in force. </w:t>
      </w:r>
      <w:r w:rsidDel="00000000" w:rsidR="00000000" w:rsidRPr="00000000">
        <w:rPr>
          <w:rtl w:val="0"/>
        </w:rPr>
      </w:r>
    </w:p>
    <w:p w:rsidR="00000000" w:rsidDel="00000000" w:rsidP="00000000" w:rsidRDefault="00000000" w:rsidRPr="00000000" w14:paraId="000000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Conservation Law (2012) and Environmental Conservation Rules (June 2014)</w:t>
      </w:r>
      <w:r w:rsidDel="00000000" w:rsidR="00000000" w:rsidRPr="00000000">
        <w:rPr>
          <w:rtl w:val="0"/>
        </w:rPr>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Impact Assessment Procedure (December 2015)</w:t>
      </w:r>
      <w:r w:rsidDel="00000000" w:rsidR="00000000" w:rsidRPr="00000000">
        <w:rPr>
          <w:rtl w:val="0"/>
        </w:rPr>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Environmental Quality (Emissions) Guidelines (December 2015).</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Myanmar Investment Law (2016) and Myanmar Investment Rules (March 2017)</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Myanmar Insurance Law (1993). Requires that any business, that may pollute the environment are required to have compulsory general liability insurance.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spacing w:line="240" w:lineRule="auto"/>
        <w:ind w:left="-13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Occupational Health and Safety and Environment Protection Laws</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Forest Law (December 1992). Currently being revised in Parliament. Deals with protection of forests and forest products.</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Conservation of Water Resources and Rivers Law (October 2006). Protection of water from pollution from banks, including the disposal of soil from gold or resources production, into rivers and creeks or that may flow into rivers and creeks. Prohibits sand extraction, gold mining, and resource extraction in the river creek or waterfront boundary without approval. Ministry of Transport approval required for certain works.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Protection of Wildlife and Conservation of Natural Areas Law (1994). Prohibits pollution or disposing of mineral pollution or causing water or air pollution in a protected area.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Prevention of Hazard from Chemicals and Related Substances Law (2013). Establishes the licencing and approval system for the use of chemicals. Prohibited the operation of a chemical substances business without a licence and prohibits the use of prohibited and unregistered chemicals or related substances.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Coastal Authority Law (2015). Prohibits the dumping of waste, oil and chemicals in coastal waters.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Explosives Act (1887), Explosives Substance Act (1908). Control the use of explosives.</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Boiler Law (2015). Requires the registration and licencing of boilers.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Prevention and Control of Communicable Diseases Law (1995).</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Protection of the Rights of Ethnic Nationalities Law (2015). Rules under discussion (August 2017)</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Protection and Preservation of Cultural Heritage Regions Law  (1998). Prohibits mining exploration in cultural heritage regions.  </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Protection and Preservation of Ancient Monuments Law  (2015). </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Underground Water Act (June 1930). Concerns access to underground water in the Yangon area. </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Draft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Occupational Health and Safety Law under discussion in Parliament (August 2017).</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1"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Land Law and Land Tenures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 Land Law (2012) and Farm Land Rules (August 2012). Currently under revision in Parliament.  Relating to land tenure. </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Vacant, Fallow, and Virgin Lands Management Law (2012) and the Vacant, Fallow, and Virgin Lands Management Rules (August 2012)</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Land Acquisition Act (1894). Currently under revision.</w:t>
      </w: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Labour Laws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Minimum Wage Act (2013), (Notification No. 2/2015 (August 2015). Applies to wages of Myanmar citizens.</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Labour Organization Law (2011).</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Settlement of Labour Dispute Law (2012).</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Employment and Skills Development Law (2013).</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Security Law (2012)/ Came into force 1 April 2014.</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Leave and Holiday Act (1951) and amended in 1959, 1965, 2006, and 2014)/ Adopted in 1951 and amended in 1959, 1965, 2006, and 2014.</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Rights of Persons with Disabilities Law (2015). Rules currently under internal discussion between Ministry of Social Welfare and PWD groups (2017). Applies to companies who are required to provide employment opportunities for PWD.</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Law (1993). Protection of children from exploitation.</w:t>
      </w:r>
      <w:r w:rsidDel="00000000" w:rsidR="00000000" w:rsidRPr="00000000">
        <w:rPr>
          <w:rtl w:val="0"/>
        </w:rPr>
      </w:r>
    </w:p>
    <w:p w:rsidR="00000000" w:rsidDel="00000000" w:rsidP="00000000" w:rsidRDefault="00000000" w:rsidRPr="00000000" w14:paraId="00000026">
      <w:pPr>
        <w:widowControl w:val="0"/>
        <w:spacing w:line="240" w:lineRule="auto"/>
        <w:ind w:left="-13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27">
      <w:pPr>
        <w:widowControl w:val="0"/>
        <w:spacing w:line="240" w:lineRule="auto"/>
        <w:ind w:left="-13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Criminal matters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851"/>
        <w:contextualSpacing w:val="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Penal Code (1861). Prohibits water pollution, air pollution and discharges of poisonous substances that may harm human health or cause injury. Prohibits explosives causing harm. Prohibits public nuisance. </w:t>
      </w:r>
      <w:r w:rsidDel="00000000" w:rsidR="00000000" w:rsidRPr="00000000">
        <w:rPr>
          <w:rtl w:val="0"/>
        </w:rPr>
      </w:r>
    </w:p>
    <w:p w:rsidR="00000000" w:rsidDel="00000000" w:rsidP="00000000" w:rsidRDefault="00000000" w:rsidRPr="00000000" w14:paraId="00000029">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sectPr>
      <w:pgSz w:h="15840" w:w="12240"/>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