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ED2" w:rsidRPr="006A14DD" w:rsidRDefault="00FA7ED2" w:rsidP="006A14DD">
      <w:pPr>
        <w:pStyle w:val="Default"/>
        <w:jc w:val="both"/>
        <w:rPr>
          <w:rFonts w:asciiTheme="minorHAnsi" w:hAnsiTheme="minorHAnsi" w:cstheme="minorHAnsi"/>
          <w:sz w:val="36"/>
          <w:szCs w:val="36"/>
        </w:rPr>
      </w:pPr>
    </w:p>
    <w:p w:rsidR="00D77B79" w:rsidRPr="006A14DD" w:rsidRDefault="00D77B79" w:rsidP="006A14DD">
      <w:pPr>
        <w:jc w:val="both"/>
        <w:rPr>
          <w:rFonts w:cstheme="minorHAnsi"/>
          <w:sz w:val="36"/>
          <w:szCs w:val="36"/>
        </w:rPr>
      </w:pPr>
      <w:r w:rsidRPr="006A14DD">
        <w:rPr>
          <w:rFonts w:cstheme="minorHAnsi"/>
          <w:noProof/>
          <w:sz w:val="36"/>
          <w:szCs w:val="36"/>
          <w:lang w:val="es-CO" w:eastAsia="es-CO"/>
        </w:rPr>
        <w:drawing>
          <wp:inline distT="0" distB="0" distL="0" distR="0" wp14:anchorId="10CF57A5" wp14:editId="7D621214">
            <wp:extent cx="1124365" cy="6381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edla 30_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8423" cy="640479"/>
                    </a:xfrm>
                    <a:prstGeom prst="rect">
                      <a:avLst/>
                    </a:prstGeom>
                  </pic:spPr>
                </pic:pic>
              </a:graphicData>
            </a:graphic>
          </wp:inline>
        </w:drawing>
      </w:r>
      <w:bookmarkStart w:id="0" w:name="_GoBack"/>
      <w:bookmarkEnd w:id="0"/>
    </w:p>
    <w:p w:rsidR="00D77B79" w:rsidRPr="006A14DD" w:rsidRDefault="00D77B79" w:rsidP="006A14DD">
      <w:pPr>
        <w:jc w:val="both"/>
        <w:rPr>
          <w:rFonts w:ascii="Copperplate Gothic Bold" w:hAnsi="Copperplate Gothic Bold" w:cstheme="minorHAnsi"/>
          <w:sz w:val="36"/>
          <w:szCs w:val="36"/>
        </w:rPr>
      </w:pPr>
      <w:r w:rsidRPr="006A14DD">
        <w:rPr>
          <w:rFonts w:ascii="Copperplate Gothic Bold" w:hAnsi="Copperplate Gothic Bold" w:cstheme="minorHAnsi"/>
          <w:sz w:val="36"/>
          <w:szCs w:val="36"/>
        </w:rPr>
        <w:t>Nota de Prensa</w:t>
      </w:r>
    </w:p>
    <w:p w:rsidR="00FA7ED2" w:rsidRPr="006A14DD" w:rsidRDefault="00BD2016" w:rsidP="006A14DD">
      <w:pPr>
        <w:pStyle w:val="Default"/>
        <w:jc w:val="both"/>
        <w:rPr>
          <w:rFonts w:asciiTheme="minorHAnsi" w:hAnsiTheme="minorHAnsi" w:cstheme="minorHAnsi"/>
          <w:i/>
          <w:sz w:val="36"/>
          <w:szCs w:val="36"/>
        </w:rPr>
      </w:pPr>
      <w:r w:rsidRPr="006A14DD">
        <w:rPr>
          <w:rFonts w:asciiTheme="minorHAnsi" w:hAnsiTheme="minorHAnsi" w:cstheme="minorHAnsi"/>
          <w:i/>
          <w:sz w:val="36"/>
          <w:szCs w:val="36"/>
        </w:rPr>
        <w:t>Comienza a derrumbarse</w:t>
      </w:r>
      <w:r w:rsidR="00FA7ED2" w:rsidRPr="006A14DD">
        <w:rPr>
          <w:rFonts w:asciiTheme="minorHAnsi" w:hAnsiTheme="minorHAnsi" w:cstheme="minorHAnsi"/>
          <w:i/>
          <w:sz w:val="36"/>
          <w:szCs w:val="36"/>
        </w:rPr>
        <w:t xml:space="preserve"> </w:t>
      </w:r>
      <w:r w:rsidRPr="006A14DD">
        <w:rPr>
          <w:rFonts w:asciiTheme="minorHAnsi" w:hAnsiTheme="minorHAnsi" w:cstheme="minorHAnsi"/>
          <w:i/>
          <w:sz w:val="36"/>
          <w:szCs w:val="36"/>
        </w:rPr>
        <w:t xml:space="preserve">la </w:t>
      </w:r>
      <w:r w:rsidR="00FA7ED2" w:rsidRPr="006A14DD">
        <w:rPr>
          <w:rFonts w:asciiTheme="minorHAnsi" w:hAnsiTheme="minorHAnsi" w:cstheme="minorHAnsi"/>
          <w:i/>
          <w:sz w:val="36"/>
          <w:szCs w:val="36"/>
        </w:rPr>
        <w:t xml:space="preserve">versión </w:t>
      </w:r>
      <w:r w:rsidR="005C1CD7" w:rsidRPr="006A14DD">
        <w:rPr>
          <w:rFonts w:asciiTheme="minorHAnsi" w:hAnsiTheme="minorHAnsi" w:cstheme="minorHAnsi"/>
          <w:i/>
          <w:sz w:val="36"/>
          <w:szCs w:val="36"/>
        </w:rPr>
        <w:t>de</w:t>
      </w:r>
      <w:r w:rsidRPr="006A14DD">
        <w:rPr>
          <w:rFonts w:asciiTheme="minorHAnsi" w:hAnsiTheme="minorHAnsi" w:cstheme="minorHAnsi"/>
          <w:i/>
          <w:sz w:val="36"/>
          <w:szCs w:val="36"/>
        </w:rPr>
        <w:t xml:space="preserve"> los</w:t>
      </w:r>
      <w:r w:rsidR="005C1CD7" w:rsidRPr="006A14DD">
        <w:rPr>
          <w:rFonts w:asciiTheme="minorHAnsi" w:hAnsiTheme="minorHAnsi" w:cstheme="minorHAnsi"/>
          <w:i/>
          <w:sz w:val="36"/>
          <w:szCs w:val="36"/>
        </w:rPr>
        <w:t xml:space="preserve"> últimos 4 años</w:t>
      </w:r>
      <w:r w:rsidR="00BE74EF" w:rsidRPr="006A14DD">
        <w:rPr>
          <w:rFonts w:asciiTheme="minorHAnsi" w:hAnsiTheme="minorHAnsi" w:cstheme="minorHAnsi"/>
          <w:i/>
          <w:sz w:val="36"/>
          <w:szCs w:val="36"/>
        </w:rPr>
        <w:t>:</w:t>
      </w:r>
    </w:p>
    <w:p w:rsidR="0075620B" w:rsidRPr="006A14DD" w:rsidRDefault="0075620B" w:rsidP="006A14DD">
      <w:pPr>
        <w:pStyle w:val="Default"/>
        <w:jc w:val="both"/>
        <w:rPr>
          <w:rFonts w:asciiTheme="minorHAnsi" w:hAnsiTheme="minorHAnsi" w:cstheme="minorHAnsi"/>
          <w:b/>
          <w:sz w:val="36"/>
          <w:szCs w:val="36"/>
        </w:rPr>
      </w:pPr>
    </w:p>
    <w:p w:rsidR="00FA7ED2" w:rsidRPr="006A14DD" w:rsidRDefault="007A36C0" w:rsidP="006A14DD">
      <w:pPr>
        <w:pStyle w:val="Default"/>
        <w:jc w:val="both"/>
        <w:rPr>
          <w:rFonts w:ascii="Copperplate Gothic Bold" w:hAnsi="Copperplate Gothic Bold" w:cstheme="minorHAnsi"/>
          <w:sz w:val="36"/>
          <w:szCs w:val="36"/>
        </w:rPr>
      </w:pPr>
      <w:r w:rsidRPr="006A14DD">
        <w:rPr>
          <w:rFonts w:ascii="Copperplate Gothic Bold" w:hAnsi="Copperplate Gothic Bold" w:cstheme="minorHAnsi"/>
          <w:sz w:val="36"/>
          <w:szCs w:val="36"/>
        </w:rPr>
        <w:t>O</w:t>
      </w:r>
      <w:r w:rsidR="00FA7ED2" w:rsidRPr="006A14DD">
        <w:rPr>
          <w:rFonts w:ascii="Copperplate Gothic Bold" w:hAnsi="Copperplate Gothic Bold" w:cstheme="minorHAnsi"/>
          <w:sz w:val="36"/>
          <w:szCs w:val="36"/>
        </w:rPr>
        <w:t xml:space="preserve">ro </w:t>
      </w:r>
      <w:r w:rsidRPr="006A14DD">
        <w:rPr>
          <w:rFonts w:ascii="Copperplate Gothic Bold" w:hAnsi="Copperplate Gothic Bold" w:cstheme="minorHAnsi"/>
          <w:sz w:val="36"/>
          <w:szCs w:val="36"/>
        </w:rPr>
        <w:t>“</w:t>
      </w:r>
      <w:r w:rsidR="00FA7ED2" w:rsidRPr="006A14DD">
        <w:rPr>
          <w:rFonts w:ascii="Copperplate Gothic Bold" w:hAnsi="Copperplate Gothic Bold" w:cstheme="minorHAnsi"/>
          <w:sz w:val="36"/>
          <w:szCs w:val="36"/>
        </w:rPr>
        <w:t>peruano re-exportado”</w:t>
      </w:r>
      <w:r w:rsidR="00391C2D" w:rsidRPr="006A14DD">
        <w:rPr>
          <w:rFonts w:ascii="Copperplate Gothic Bold" w:hAnsi="Copperplate Gothic Bold" w:cstheme="minorHAnsi"/>
          <w:sz w:val="36"/>
          <w:szCs w:val="36"/>
        </w:rPr>
        <w:t xml:space="preserve"> sería boliviano</w:t>
      </w:r>
      <w:r w:rsidR="00FA7ED2" w:rsidRPr="006A14DD">
        <w:rPr>
          <w:rFonts w:ascii="Copperplate Gothic Bold" w:hAnsi="Copperplate Gothic Bold" w:cstheme="minorHAnsi"/>
          <w:sz w:val="36"/>
          <w:szCs w:val="36"/>
        </w:rPr>
        <w:t>:</w:t>
      </w:r>
      <w:r w:rsidR="0075620B" w:rsidRPr="006A14DD">
        <w:rPr>
          <w:rFonts w:ascii="Copperplate Gothic Bold" w:hAnsi="Copperplate Gothic Bold" w:cstheme="minorHAnsi"/>
          <w:sz w:val="36"/>
          <w:szCs w:val="36"/>
        </w:rPr>
        <w:t xml:space="preserve"> </w:t>
      </w:r>
      <w:r w:rsidR="00D77B79" w:rsidRPr="006A14DD">
        <w:rPr>
          <w:rFonts w:ascii="Copperplate Gothic Bold" w:hAnsi="Copperplate Gothic Bold" w:cstheme="minorHAnsi"/>
          <w:sz w:val="36"/>
          <w:szCs w:val="36"/>
        </w:rPr>
        <w:t>90 t. por valor de 4.300 millones de dólares</w:t>
      </w:r>
    </w:p>
    <w:p w:rsidR="00FA7ED2" w:rsidRPr="006A14DD" w:rsidRDefault="00FA7ED2" w:rsidP="006A14DD">
      <w:pPr>
        <w:pStyle w:val="Default"/>
        <w:jc w:val="both"/>
        <w:rPr>
          <w:rFonts w:asciiTheme="minorHAnsi" w:hAnsiTheme="minorHAnsi" w:cstheme="minorHAnsi"/>
          <w:b/>
          <w:sz w:val="36"/>
          <w:szCs w:val="36"/>
        </w:rPr>
      </w:pPr>
    </w:p>
    <w:p w:rsidR="007A36C0" w:rsidRPr="006A14DD" w:rsidRDefault="00B13C48" w:rsidP="006A14DD">
      <w:pPr>
        <w:pStyle w:val="Default"/>
        <w:jc w:val="both"/>
        <w:rPr>
          <w:rFonts w:asciiTheme="minorHAnsi" w:hAnsiTheme="minorHAnsi" w:cstheme="minorHAnsi"/>
          <w:i/>
          <w:sz w:val="36"/>
          <w:szCs w:val="36"/>
        </w:rPr>
      </w:pPr>
      <w:r w:rsidRPr="006A14DD">
        <w:rPr>
          <w:rFonts w:asciiTheme="minorHAnsi" w:hAnsiTheme="minorHAnsi" w:cstheme="minorHAnsi"/>
          <w:i/>
          <w:sz w:val="36"/>
          <w:szCs w:val="36"/>
        </w:rPr>
        <w:t>La producción rompe</w:t>
      </w:r>
      <w:r w:rsidR="0016182E" w:rsidRPr="006A14DD">
        <w:rPr>
          <w:rFonts w:asciiTheme="minorHAnsi" w:hAnsiTheme="minorHAnsi" w:cstheme="minorHAnsi"/>
          <w:i/>
          <w:sz w:val="36"/>
          <w:szCs w:val="36"/>
        </w:rPr>
        <w:t xml:space="preserve"> ré</w:t>
      </w:r>
      <w:r w:rsidRPr="006A14DD">
        <w:rPr>
          <w:rFonts w:asciiTheme="minorHAnsi" w:hAnsiTheme="minorHAnsi" w:cstheme="minorHAnsi"/>
          <w:i/>
          <w:sz w:val="36"/>
          <w:szCs w:val="36"/>
        </w:rPr>
        <w:t>cord y llega a 34 millones de toneladas, pero aumenta el fraude aurífero.</w:t>
      </w:r>
      <w:r w:rsidR="007A36C0" w:rsidRPr="006A14DD">
        <w:rPr>
          <w:rFonts w:asciiTheme="minorHAnsi" w:hAnsiTheme="minorHAnsi" w:cstheme="minorHAnsi"/>
          <w:i/>
          <w:sz w:val="36"/>
          <w:szCs w:val="36"/>
        </w:rPr>
        <w:t xml:space="preserve"> </w:t>
      </w:r>
      <w:r w:rsidR="00391C2D" w:rsidRPr="006A14DD">
        <w:rPr>
          <w:rFonts w:asciiTheme="minorHAnsi" w:hAnsiTheme="minorHAnsi" w:cstheme="minorHAnsi"/>
          <w:i/>
          <w:sz w:val="36"/>
          <w:szCs w:val="36"/>
        </w:rPr>
        <w:t xml:space="preserve">Sólo </w:t>
      </w:r>
      <w:r w:rsidR="00242A35" w:rsidRPr="006A14DD">
        <w:rPr>
          <w:rFonts w:asciiTheme="minorHAnsi" w:hAnsiTheme="minorHAnsi" w:cstheme="minorHAnsi"/>
          <w:i/>
          <w:sz w:val="36"/>
          <w:szCs w:val="36"/>
        </w:rPr>
        <w:t>hay registradas</w:t>
      </w:r>
      <w:r w:rsidR="00391C2D" w:rsidRPr="006A14DD">
        <w:rPr>
          <w:rFonts w:asciiTheme="minorHAnsi" w:hAnsiTheme="minorHAnsi" w:cstheme="minorHAnsi"/>
          <w:i/>
          <w:sz w:val="36"/>
          <w:szCs w:val="36"/>
        </w:rPr>
        <w:t xml:space="preserve"> 46 toneladas por 2.700 M$us entre 2011-2013. </w:t>
      </w:r>
      <w:r w:rsidR="007A36C0" w:rsidRPr="006A14DD">
        <w:rPr>
          <w:rFonts w:asciiTheme="minorHAnsi" w:hAnsiTheme="minorHAnsi" w:cstheme="minorHAnsi"/>
          <w:i/>
          <w:sz w:val="36"/>
          <w:szCs w:val="36"/>
        </w:rPr>
        <w:t>“Los  últimos cuatro años, estaríamos frente a una eva</w:t>
      </w:r>
      <w:r w:rsidR="007A36C0" w:rsidRPr="006A14DD">
        <w:rPr>
          <w:rFonts w:asciiTheme="minorHAnsi" w:hAnsiTheme="minorHAnsi" w:cstheme="minorHAnsi"/>
          <w:i/>
          <w:sz w:val="36"/>
          <w:szCs w:val="36"/>
        </w:rPr>
        <w:softHyphen/>
        <w:t>sión y elusión combinadas de unos 3.000 millones de dólares”</w:t>
      </w:r>
      <w:r w:rsidR="00BD2016" w:rsidRPr="006A14DD">
        <w:rPr>
          <w:rFonts w:asciiTheme="minorHAnsi" w:hAnsiTheme="minorHAnsi" w:cstheme="minorHAnsi"/>
          <w:i/>
          <w:sz w:val="36"/>
          <w:szCs w:val="36"/>
        </w:rPr>
        <w:t>. La</w:t>
      </w:r>
      <w:r w:rsidR="00CF56FB" w:rsidRPr="006A14DD">
        <w:rPr>
          <w:rFonts w:asciiTheme="minorHAnsi" w:hAnsiTheme="minorHAnsi" w:cstheme="minorHAnsi"/>
          <w:i/>
          <w:sz w:val="36"/>
          <w:szCs w:val="36"/>
        </w:rPr>
        <w:t xml:space="preserve"> produc</w:t>
      </w:r>
      <w:r w:rsidR="00BD2016" w:rsidRPr="006A14DD">
        <w:rPr>
          <w:rFonts w:asciiTheme="minorHAnsi" w:hAnsiTheme="minorHAnsi" w:cstheme="minorHAnsi"/>
          <w:i/>
          <w:sz w:val="36"/>
          <w:szCs w:val="36"/>
        </w:rPr>
        <w:t xml:space="preserve">ción del Perú muestra bajas, pero por Lima pasaron </w:t>
      </w:r>
      <w:r w:rsidR="00CF56FB" w:rsidRPr="006A14DD">
        <w:rPr>
          <w:rFonts w:asciiTheme="minorHAnsi" w:hAnsiTheme="minorHAnsi" w:cstheme="minorHAnsi"/>
          <w:i/>
          <w:sz w:val="36"/>
          <w:szCs w:val="36"/>
        </w:rPr>
        <w:t>35 t de oro boliviano</w:t>
      </w:r>
      <w:r w:rsidR="00BD2016" w:rsidRPr="006A14DD">
        <w:rPr>
          <w:rFonts w:asciiTheme="minorHAnsi" w:hAnsiTheme="minorHAnsi" w:cstheme="minorHAnsi"/>
          <w:i/>
          <w:sz w:val="36"/>
          <w:szCs w:val="36"/>
        </w:rPr>
        <w:t>.</w:t>
      </w:r>
    </w:p>
    <w:p w:rsidR="004E2488" w:rsidRPr="006A14DD" w:rsidRDefault="004E2488" w:rsidP="006A14DD">
      <w:pPr>
        <w:pStyle w:val="Default"/>
        <w:jc w:val="both"/>
        <w:rPr>
          <w:rFonts w:asciiTheme="minorHAnsi" w:hAnsiTheme="minorHAnsi" w:cstheme="minorHAnsi"/>
          <w:sz w:val="36"/>
          <w:szCs w:val="36"/>
        </w:rPr>
      </w:pPr>
    </w:p>
    <w:p w:rsidR="004E2488" w:rsidRPr="006A14DD" w:rsidRDefault="004E2488" w:rsidP="006A14DD">
      <w:pPr>
        <w:pStyle w:val="Default"/>
        <w:jc w:val="both"/>
        <w:rPr>
          <w:rFonts w:asciiTheme="minorHAnsi" w:hAnsiTheme="minorHAnsi" w:cstheme="minorHAnsi"/>
          <w:b/>
          <w:i/>
          <w:sz w:val="36"/>
          <w:szCs w:val="36"/>
        </w:rPr>
      </w:pPr>
      <w:r w:rsidRPr="006A14DD">
        <w:rPr>
          <w:rFonts w:asciiTheme="minorHAnsi" w:hAnsiTheme="minorHAnsi" w:cstheme="minorHAnsi"/>
          <w:b/>
          <w:i/>
          <w:sz w:val="36"/>
          <w:szCs w:val="36"/>
        </w:rPr>
        <w:t>Rolando Carvajal</w:t>
      </w:r>
    </w:p>
    <w:p w:rsidR="004E274F" w:rsidRPr="006A14DD" w:rsidRDefault="004E274F" w:rsidP="006A14DD">
      <w:pPr>
        <w:pStyle w:val="Default"/>
        <w:jc w:val="both"/>
        <w:rPr>
          <w:rFonts w:asciiTheme="minorHAnsi" w:hAnsiTheme="minorHAnsi" w:cstheme="minorHAnsi"/>
          <w:b/>
          <w:i/>
          <w:sz w:val="36"/>
          <w:szCs w:val="36"/>
        </w:rPr>
      </w:pPr>
    </w:p>
    <w:p w:rsidR="00D77B79" w:rsidRPr="006A14DD" w:rsidRDefault="004131A9"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t xml:space="preserve">El </w:t>
      </w:r>
      <w:r w:rsidR="003F5D64" w:rsidRPr="006A14DD">
        <w:rPr>
          <w:rFonts w:asciiTheme="minorHAnsi" w:hAnsiTheme="minorHAnsi" w:cstheme="minorHAnsi"/>
          <w:sz w:val="36"/>
          <w:szCs w:val="36"/>
        </w:rPr>
        <w:t xml:space="preserve">depredador </w:t>
      </w:r>
      <w:r w:rsidR="007A36C0" w:rsidRPr="006A14DD">
        <w:rPr>
          <w:rFonts w:asciiTheme="minorHAnsi" w:hAnsiTheme="minorHAnsi" w:cstheme="minorHAnsi"/>
          <w:sz w:val="36"/>
          <w:szCs w:val="36"/>
        </w:rPr>
        <w:t xml:space="preserve">consumo </w:t>
      </w:r>
      <w:r w:rsidR="00543135" w:rsidRPr="006A14DD">
        <w:rPr>
          <w:rFonts w:asciiTheme="minorHAnsi" w:hAnsiTheme="minorHAnsi" w:cstheme="minorHAnsi"/>
          <w:sz w:val="36"/>
          <w:szCs w:val="36"/>
        </w:rPr>
        <w:t xml:space="preserve">anual </w:t>
      </w:r>
      <w:r w:rsidR="007A36C0" w:rsidRPr="006A14DD">
        <w:rPr>
          <w:rFonts w:asciiTheme="minorHAnsi" w:hAnsiTheme="minorHAnsi" w:cstheme="minorHAnsi"/>
          <w:sz w:val="36"/>
          <w:szCs w:val="36"/>
        </w:rPr>
        <w:t xml:space="preserve">de </w:t>
      </w:r>
      <w:r w:rsidR="00D30474" w:rsidRPr="006A14DD">
        <w:rPr>
          <w:rFonts w:asciiTheme="minorHAnsi" w:hAnsiTheme="minorHAnsi" w:cstheme="minorHAnsi"/>
          <w:sz w:val="36"/>
          <w:szCs w:val="36"/>
        </w:rPr>
        <w:t>mercurio</w:t>
      </w:r>
      <w:r w:rsidR="00543135" w:rsidRPr="006A14DD">
        <w:rPr>
          <w:rFonts w:asciiTheme="minorHAnsi" w:hAnsiTheme="minorHAnsi" w:cstheme="minorHAnsi"/>
          <w:sz w:val="36"/>
          <w:szCs w:val="36"/>
        </w:rPr>
        <w:t xml:space="preserve"> en Bolivia</w:t>
      </w:r>
      <w:r w:rsidR="003F5D64" w:rsidRPr="006A14DD">
        <w:rPr>
          <w:rFonts w:asciiTheme="minorHAnsi" w:hAnsiTheme="minorHAnsi" w:cstheme="minorHAnsi"/>
          <w:sz w:val="36"/>
          <w:szCs w:val="36"/>
        </w:rPr>
        <w:t xml:space="preserve"> está coadyuvando </w:t>
      </w:r>
      <w:r w:rsidRPr="006A14DD">
        <w:rPr>
          <w:rFonts w:asciiTheme="minorHAnsi" w:hAnsiTheme="minorHAnsi" w:cstheme="minorHAnsi"/>
          <w:sz w:val="36"/>
          <w:szCs w:val="36"/>
        </w:rPr>
        <w:t xml:space="preserve">a esclarecer </w:t>
      </w:r>
      <w:r w:rsidR="003F5D64" w:rsidRPr="006A14DD">
        <w:rPr>
          <w:rFonts w:asciiTheme="minorHAnsi" w:hAnsiTheme="minorHAnsi" w:cstheme="minorHAnsi"/>
          <w:sz w:val="36"/>
          <w:szCs w:val="36"/>
        </w:rPr>
        <w:t>que la</w:t>
      </w:r>
      <w:r w:rsidR="004E2488" w:rsidRPr="006A14DD">
        <w:rPr>
          <w:rFonts w:asciiTheme="minorHAnsi" w:hAnsiTheme="minorHAnsi" w:cstheme="minorHAnsi"/>
          <w:sz w:val="36"/>
          <w:szCs w:val="36"/>
        </w:rPr>
        <w:t xml:space="preserve"> </w:t>
      </w:r>
      <w:r w:rsidR="007A36C0" w:rsidRPr="006A14DD">
        <w:rPr>
          <w:rFonts w:asciiTheme="minorHAnsi" w:hAnsiTheme="minorHAnsi" w:cstheme="minorHAnsi"/>
          <w:sz w:val="36"/>
          <w:szCs w:val="36"/>
        </w:rPr>
        <w:t>producci</w:t>
      </w:r>
      <w:r w:rsidR="004E2488" w:rsidRPr="006A14DD">
        <w:rPr>
          <w:rFonts w:asciiTheme="minorHAnsi" w:hAnsiTheme="minorHAnsi" w:cstheme="minorHAnsi"/>
          <w:sz w:val="36"/>
          <w:szCs w:val="36"/>
        </w:rPr>
        <w:t xml:space="preserve">ón </w:t>
      </w:r>
      <w:r w:rsidRPr="006A14DD">
        <w:rPr>
          <w:rFonts w:asciiTheme="minorHAnsi" w:hAnsiTheme="minorHAnsi" w:cstheme="minorHAnsi"/>
          <w:sz w:val="36"/>
          <w:szCs w:val="36"/>
        </w:rPr>
        <w:t xml:space="preserve">nacional </w:t>
      </w:r>
      <w:r w:rsidR="003F5D64" w:rsidRPr="006A14DD">
        <w:rPr>
          <w:rFonts w:asciiTheme="minorHAnsi" w:hAnsiTheme="minorHAnsi" w:cstheme="minorHAnsi"/>
          <w:sz w:val="36"/>
          <w:szCs w:val="36"/>
        </w:rPr>
        <w:t>suma</w:t>
      </w:r>
      <w:r w:rsidR="00CF56FB" w:rsidRPr="006A14DD">
        <w:rPr>
          <w:rFonts w:asciiTheme="minorHAnsi" w:hAnsiTheme="minorHAnsi" w:cstheme="minorHAnsi"/>
          <w:sz w:val="36"/>
          <w:szCs w:val="36"/>
        </w:rPr>
        <w:t xml:space="preserve"> al menos </w:t>
      </w:r>
      <w:r w:rsidR="004E2488" w:rsidRPr="006A14DD">
        <w:rPr>
          <w:rFonts w:asciiTheme="minorHAnsi" w:hAnsiTheme="minorHAnsi" w:cstheme="minorHAnsi"/>
          <w:sz w:val="36"/>
          <w:szCs w:val="36"/>
        </w:rPr>
        <w:t>30 t</w:t>
      </w:r>
      <w:r w:rsidRPr="006A14DD">
        <w:rPr>
          <w:rFonts w:asciiTheme="minorHAnsi" w:hAnsiTheme="minorHAnsi" w:cstheme="minorHAnsi"/>
          <w:sz w:val="36"/>
          <w:szCs w:val="36"/>
        </w:rPr>
        <w:t>oneladas (t)</w:t>
      </w:r>
      <w:r w:rsidR="00543135" w:rsidRPr="006A14DD">
        <w:rPr>
          <w:rFonts w:asciiTheme="minorHAnsi" w:hAnsiTheme="minorHAnsi" w:cstheme="minorHAnsi"/>
          <w:sz w:val="36"/>
          <w:szCs w:val="36"/>
        </w:rPr>
        <w:t xml:space="preserve"> </w:t>
      </w:r>
      <w:r w:rsidR="004E2488" w:rsidRPr="006A14DD">
        <w:rPr>
          <w:rFonts w:asciiTheme="minorHAnsi" w:hAnsiTheme="minorHAnsi" w:cstheme="minorHAnsi"/>
          <w:sz w:val="36"/>
          <w:szCs w:val="36"/>
        </w:rPr>
        <w:t xml:space="preserve">de </w:t>
      </w:r>
      <w:r w:rsidR="00543135" w:rsidRPr="006A14DD">
        <w:rPr>
          <w:rFonts w:asciiTheme="minorHAnsi" w:hAnsiTheme="minorHAnsi" w:cstheme="minorHAnsi"/>
          <w:sz w:val="36"/>
          <w:szCs w:val="36"/>
        </w:rPr>
        <w:t>oro</w:t>
      </w:r>
      <w:r w:rsidR="004E2488" w:rsidRPr="006A14DD">
        <w:rPr>
          <w:rFonts w:asciiTheme="minorHAnsi" w:hAnsiTheme="minorHAnsi" w:cstheme="minorHAnsi"/>
          <w:sz w:val="36"/>
          <w:szCs w:val="36"/>
        </w:rPr>
        <w:t xml:space="preserve"> por año y no las 19 t promedio que registran las cifras oficiales 2011</w:t>
      </w:r>
      <w:r w:rsidR="00C61137" w:rsidRPr="006A14DD">
        <w:rPr>
          <w:rFonts w:asciiTheme="minorHAnsi" w:hAnsiTheme="minorHAnsi" w:cstheme="minorHAnsi"/>
          <w:sz w:val="36"/>
          <w:szCs w:val="36"/>
        </w:rPr>
        <w:t>-</w:t>
      </w:r>
      <w:r w:rsidR="004E2488" w:rsidRPr="006A14DD">
        <w:rPr>
          <w:rFonts w:asciiTheme="minorHAnsi" w:hAnsiTheme="minorHAnsi" w:cstheme="minorHAnsi"/>
          <w:sz w:val="36"/>
          <w:szCs w:val="36"/>
        </w:rPr>
        <w:t>2013</w:t>
      </w:r>
      <w:r w:rsidR="00C61137" w:rsidRPr="006A14DD">
        <w:rPr>
          <w:rFonts w:asciiTheme="minorHAnsi" w:hAnsiTheme="minorHAnsi" w:cstheme="minorHAnsi"/>
          <w:sz w:val="36"/>
          <w:szCs w:val="36"/>
        </w:rPr>
        <w:t xml:space="preserve">, en un auge de seis años que </w:t>
      </w:r>
      <w:r w:rsidR="00D30474" w:rsidRPr="006A14DD">
        <w:rPr>
          <w:rFonts w:asciiTheme="minorHAnsi" w:hAnsiTheme="minorHAnsi" w:cstheme="minorHAnsi"/>
          <w:sz w:val="36"/>
          <w:szCs w:val="36"/>
        </w:rPr>
        <w:t xml:space="preserve">enriquece todavía más a </w:t>
      </w:r>
      <w:r w:rsidR="00C61137" w:rsidRPr="006A14DD">
        <w:rPr>
          <w:rFonts w:asciiTheme="minorHAnsi" w:hAnsiTheme="minorHAnsi" w:cstheme="minorHAnsi"/>
          <w:sz w:val="36"/>
          <w:szCs w:val="36"/>
        </w:rPr>
        <w:t>gra</w:t>
      </w:r>
      <w:r w:rsidR="00D30474" w:rsidRPr="006A14DD">
        <w:rPr>
          <w:rFonts w:asciiTheme="minorHAnsi" w:hAnsiTheme="minorHAnsi" w:cstheme="minorHAnsi"/>
          <w:sz w:val="36"/>
          <w:szCs w:val="36"/>
        </w:rPr>
        <w:t xml:space="preserve">ndes productores e intermediarios, en desmedro de </w:t>
      </w:r>
      <w:r w:rsidR="00C61137" w:rsidRPr="006A14DD">
        <w:rPr>
          <w:rFonts w:asciiTheme="minorHAnsi" w:hAnsiTheme="minorHAnsi" w:cstheme="minorHAnsi"/>
          <w:sz w:val="36"/>
          <w:szCs w:val="36"/>
        </w:rPr>
        <w:t xml:space="preserve">miles </w:t>
      </w:r>
      <w:r w:rsidR="00D30474" w:rsidRPr="006A14DD">
        <w:rPr>
          <w:rFonts w:asciiTheme="minorHAnsi" w:hAnsiTheme="minorHAnsi" w:cstheme="minorHAnsi"/>
          <w:sz w:val="36"/>
          <w:szCs w:val="36"/>
        </w:rPr>
        <w:t xml:space="preserve">y miles </w:t>
      </w:r>
      <w:r w:rsidR="00C61137" w:rsidRPr="006A14DD">
        <w:rPr>
          <w:rFonts w:asciiTheme="minorHAnsi" w:hAnsiTheme="minorHAnsi" w:cstheme="minorHAnsi"/>
          <w:sz w:val="36"/>
          <w:szCs w:val="36"/>
        </w:rPr>
        <w:t xml:space="preserve">de </w:t>
      </w:r>
      <w:r w:rsidR="00BD2016" w:rsidRPr="006A14DD">
        <w:rPr>
          <w:rFonts w:asciiTheme="minorHAnsi" w:hAnsiTheme="minorHAnsi" w:cstheme="minorHAnsi"/>
          <w:sz w:val="36"/>
          <w:szCs w:val="36"/>
        </w:rPr>
        <w:t>trabajadores y las regiones.</w:t>
      </w:r>
    </w:p>
    <w:p w:rsidR="00BD2016" w:rsidRPr="006A14DD" w:rsidRDefault="003F5D64"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lastRenderedPageBreak/>
        <w:t>Con ello han comenzado a derrumbarse versiones  sobre</w:t>
      </w:r>
      <w:r w:rsidR="00391C2D" w:rsidRPr="006A14DD">
        <w:rPr>
          <w:rFonts w:asciiTheme="minorHAnsi" w:hAnsiTheme="minorHAnsi" w:cstheme="minorHAnsi"/>
          <w:sz w:val="36"/>
          <w:szCs w:val="36"/>
        </w:rPr>
        <w:t xml:space="preserve"> un</w:t>
      </w:r>
      <w:r w:rsidRPr="006A14DD">
        <w:rPr>
          <w:rFonts w:asciiTheme="minorHAnsi" w:hAnsiTheme="minorHAnsi" w:cstheme="minorHAnsi"/>
          <w:sz w:val="36"/>
          <w:szCs w:val="36"/>
        </w:rPr>
        <w:t xml:space="preserve"> </w:t>
      </w:r>
      <w:r w:rsidR="004E2488" w:rsidRPr="006A14DD">
        <w:rPr>
          <w:rFonts w:asciiTheme="minorHAnsi" w:hAnsiTheme="minorHAnsi" w:cstheme="minorHAnsi"/>
          <w:sz w:val="36"/>
          <w:szCs w:val="36"/>
        </w:rPr>
        <w:t xml:space="preserve"> “oro peruano”</w:t>
      </w:r>
      <w:r w:rsidRPr="006A14DD">
        <w:rPr>
          <w:rFonts w:asciiTheme="minorHAnsi" w:hAnsiTheme="minorHAnsi" w:cstheme="minorHAnsi"/>
          <w:sz w:val="36"/>
          <w:szCs w:val="36"/>
        </w:rPr>
        <w:t xml:space="preserve"> reexportado principalmente desde La Paz</w:t>
      </w:r>
      <w:r w:rsidR="004E2488" w:rsidRPr="006A14DD">
        <w:rPr>
          <w:rFonts w:asciiTheme="minorHAnsi" w:hAnsiTheme="minorHAnsi" w:cstheme="minorHAnsi"/>
          <w:sz w:val="36"/>
          <w:szCs w:val="36"/>
        </w:rPr>
        <w:t xml:space="preserve">, </w:t>
      </w:r>
      <w:r w:rsidR="004131A9" w:rsidRPr="006A14DD">
        <w:rPr>
          <w:rFonts w:asciiTheme="minorHAnsi" w:hAnsiTheme="minorHAnsi" w:cstheme="minorHAnsi"/>
          <w:sz w:val="36"/>
          <w:szCs w:val="36"/>
        </w:rPr>
        <w:t>que en realidad</w:t>
      </w:r>
      <w:r w:rsidR="004E2488" w:rsidRPr="006A14DD">
        <w:rPr>
          <w:rFonts w:asciiTheme="minorHAnsi" w:hAnsiTheme="minorHAnsi" w:cstheme="minorHAnsi"/>
          <w:sz w:val="36"/>
          <w:szCs w:val="36"/>
        </w:rPr>
        <w:t xml:space="preserve"> </w:t>
      </w:r>
      <w:r w:rsidR="004131A9" w:rsidRPr="006A14DD">
        <w:rPr>
          <w:rFonts w:asciiTheme="minorHAnsi" w:hAnsiTheme="minorHAnsi" w:cstheme="minorHAnsi"/>
          <w:sz w:val="36"/>
          <w:szCs w:val="36"/>
        </w:rPr>
        <w:t>ser</w:t>
      </w:r>
      <w:r w:rsidRPr="006A14DD">
        <w:rPr>
          <w:rFonts w:asciiTheme="minorHAnsi" w:hAnsiTheme="minorHAnsi" w:cstheme="minorHAnsi"/>
          <w:sz w:val="36"/>
          <w:szCs w:val="36"/>
        </w:rPr>
        <w:t>ía</w:t>
      </w:r>
      <w:r w:rsidR="004131A9" w:rsidRPr="006A14DD">
        <w:rPr>
          <w:rFonts w:asciiTheme="minorHAnsi" w:hAnsiTheme="minorHAnsi" w:cstheme="minorHAnsi"/>
          <w:sz w:val="36"/>
          <w:szCs w:val="36"/>
        </w:rPr>
        <w:t xml:space="preserve"> </w:t>
      </w:r>
      <w:r w:rsidR="00970A53" w:rsidRPr="006A14DD">
        <w:rPr>
          <w:rFonts w:asciiTheme="minorHAnsi" w:hAnsiTheme="minorHAnsi" w:cstheme="minorHAnsi"/>
          <w:sz w:val="36"/>
          <w:szCs w:val="36"/>
        </w:rPr>
        <w:t xml:space="preserve">en su mayor parte  </w:t>
      </w:r>
      <w:r w:rsidR="004E2488" w:rsidRPr="006A14DD">
        <w:rPr>
          <w:rFonts w:asciiTheme="minorHAnsi" w:hAnsiTheme="minorHAnsi" w:cstheme="minorHAnsi"/>
          <w:sz w:val="36"/>
          <w:szCs w:val="36"/>
        </w:rPr>
        <w:t xml:space="preserve">resultado de la intensa </w:t>
      </w:r>
      <w:r w:rsidR="00BE74EF" w:rsidRPr="006A14DD">
        <w:rPr>
          <w:rFonts w:asciiTheme="minorHAnsi" w:hAnsiTheme="minorHAnsi" w:cstheme="minorHAnsi"/>
          <w:sz w:val="36"/>
          <w:szCs w:val="36"/>
        </w:rPr>
        <w:t xml:space="preserve">y bonancible </w:t>
      </w:r>
      <w:r w:rsidR="004E2488" w:rsidRPr="006A14DD">
        <w:rPr>
          <w:rFonts w:asciiTheme="minorHAnsi" w:hAnsiTheme="minorHAnsi" w:cstheme="minorHAnsi"/>
          <w:sz w:val="36"/>
          <w:szCs w:val="36"/>
        </w:rPr>
        <w:t xml:space="preserve">explotación </w:t>
      </w:r>
      <w:r w:rsidR="00391C2D" w:rsidRPr="006A14DD">
        <w:rPr>
          <w:rFonts w:asciiTheme="minorHAnsi" w:hAnsiTheme="minorHAnsi" w:cstheme="minorHAnsi"/>
          <w:sz w:val="36"/>
          <w:szCs w:val="36"/>
        </w:rPr>
        <w:t>local</w:t>
      </w:r>
      <w:r w:rsidR="00BD2016" w:rsidRPr="006A14DD">
        <w:rPr>
          <w:rFonts w:asciiTheme="minorHAnsi" w:hAnsiTheme="minorHAnsi" w:cstheme="minorHAnsi"/>
          <w:sz w:val="36"/>
          <w:szCs w:val="36"/>
        </w:rPr>
        <w:t xml:space="preserve">: </w:t>
      </w:r>
      <w:r w:rsidR="00F04D31" w:rsidRPr="006A14DD">
        <w:rPr>
          <w:rFonts w:asciiTheme="minorHAnsi" w:hAnsiTheme="minorHAnsi" w:cstheme="minorHAnsi"/>
          <w:sz w:val="36"/>
          <w:szCs w:val="36"/>
        </w:rPr>
        <w:t>unas 91</w:t>
      </w:r>
      <w:r w:rsidR="00970A53" w:rsidRPr="006A14DD">
        <w:rPr>
          <w:rFonts w:asciiTheme="minorHAnsi" w:hAnsiTheme="minorHAnsi" w:cstheme="minorHAnsi"/>
          <w:sz w:val="36"/>
          <w:szCs w:val="36"/>
        </w:rPr>
        <w:t xml:space="preserve"> t</w:t>
      </w:r>
      <w:r w:rsidR="00BD2016" w:rsidRPr="006A14DD">
        <w:rPr>
          <w:rFonts w:asciiTheme="minorHAnsi" w:hAnsiTheme="minorHAnsi" w:cstheme="minorHAnsi"/>
          <w:sz w:val="36"/>
          <w:szCs w:val="36"/>
        </w:rPr>
        <w:t xml:space="preserve"> tan sólo</w:t>
      </w:r>
      <w:r w:rsidR="00970A53" w:rsidRPr="006A14DD">
        <w:rPr>
          <w:rFonts w:asciiTheme="minorHAnsi" w:hAnsiTheme="minorHAnsi" w:cstheme="minorHAnsi"/>
          <w:sz w:val="36"/>
          <w:szCs w:val="36"/>
        </w:rPr>
        <w:t xml:space="preserve"> en los últimos</w:t>
      </w:r>
      <w:r w:rsidR="00F04D31" w:rsidRPr="006A14DD">
        <w:rPr>
          <w:rFonts w:asciiTheme="minorHAnsi" w:hAnsiTheme="minorHAnsi" w:cstheme="minorHAnsi"/>
          <w:sz w:val="36"/>
          <w:szCs w:val="36"/>
        </w:rPr>
        <w:t xml:space="preserve"> cuatro años, por valor de 4.177</w:t>
      </w:r>
      <w:r w:rsidR="00D77B79" w:rsidRPr="006A14DD">
        <w:rPr>
          <w:rFonts w:asciiTheme="minorHAnsi" w:hAnsiTheme="minorHAnsi" w:cstheme="minorHAnsi"/>
          <w:sz w:val="36"/>
          <w:szCs w:val="36"/>
        </w:rPr>
        <w:t xml:space="preserve"> millones de dólares</w:t>
      </w:r>
      <w:r w:rsidR="00BD2016" w:rsidRPr="006A14DD">
        <w:rPr>
          <w:rFonts w:asciiTheme="minorHAnsi" w:hAnsiTheme="minorHAnsi" w:cstheme="minorHAnsi"/>
          <w:sz w:val="36"/>
          <w:szCs w:val="36"/>
        </w:rPr>
        <w:t>.</w:t>
      </w:r>
    </w:p>
    <w:p w:rsidR="00970A53" w:rsidRPr="006A14DD" w:rsidRDefault="00BD2016"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t>De ese monto,</w:t>
      </w:r>
      <w:r w:rsidR="00970A53" w:rsidRPr="006A14DD">
        <w:rPr>
          <w:rFonts w:asciiTheme="minorHAnsi" w:hAnsiTheme="minorHAnsi" w:cstheme="minorHAnsi"/>
          <w:sz w:val="36"/>
          <w:szCs w:val="36"/>
        </w:rPr>
        <w:t xml:space="preserve"> el Estado </w:t>
      </w:r>
      <w:r w:rsidRPr="006A14DD">
        <w:rPr>
          <w:rFonts w:asciiTheme="minorHAnsi" w:hAnsiTheme="minorHAnsi" w:cstheme="minorHAnsi"/>
          <w:sz w:val="36"/>
          <w:szCs w:val="36"/>
        </w:rPr>
        <w:t xml:space="preserve">boliviano </w:t>
      </w:r>
      <w:r w:rsidR="00970A53" w:rsidRPr="006A14DD">
        <w:rPr>
          <w:rFonts w:asciiTheme="minorHAnsi" w:hAnsiTheme="minorHAnsi" w:cstheme="minorHAnsi"/>
          <w:sz w:val="36"/>
          <w:szCs w:val="36"/>
        </w:rPr>
        <w:t xml:space="preserve">se contentó con percibir, cuando mucho, </w:t>
      </w:r>
      <w:r w:rsidR="000D25C5" w:rsidRPr="006A14DD">
        <w:rPr>
          <w:rFonts w:asciiTheme="minorHAnsi" w:hAnsiTheme="minorHAnsi" w:cstheme="minorHAnsi"/>
          <w:sz w:val="36"/>
          <w:szCs w:val="36"/>
        </w:rPr>
        <w:t>62</w:t>
      </w:r>
      <w:r w:rsidR="00970A53" w:rsidRPr="006A14DD">
        <w:rPr>
          <w:rFonts w:asciiTheme="minorHAnsi" w:hAnsiTheme="minorHAnsi" w:cstheme="minorHAnsi"/>
          <w:sz w:val="36"/>
          <w:szCs w:val="36"/>
        </w:rPr>
        <w:t xml:space="preserve"> millones, poco más del 1</w:t>
      </w:r>
      <w:r w:rsidR="000D25C5" w:rsidRPr="006A14DD">
        <w:rPr>
          <w:rFonts w:asciiTheme="minorHAnsi" w:hAnsiTheme="minorHAnsi" w:cstheme="minorHAnsi"/>
          <w:sz w:val="36"/>
          <w:szCs w:val="36"/>
        </w:rPr>
        <w:t>.5</w:t>
      </w:r>
      <w:r w:rsidR="00970A53" w:rsidRPr="006A14DD">
        <w:rPr>
          <w:rFonts w:asciiTheme="minorHAnsi" w:hAnsiTheme="minorHAnsi" w:cstheme="minorHAnsi"/>
          <w:sz w:val="36"/>
          <w:szCs w:val="36"/>
        </w:rPr>
        <w:t xml:space="preserve"> % en regalías para las regiones productoras.</w:t>
      </w:r>
    </w:p>
    <w:p w:rsidR="000A7A94" w:rsidRPr="006A14DD" w:rsidRDefault="00970A53"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t>Cálculos independientes con proyección al 2015 estiman</w:t>
      </w:r>
      <w:r w:rsidR="00242A35" w:rsidRPr="006A14DD">
        <w:rPr>
          <w:rFonts w:asciiTheme="minorHAnsi" w:hAnsiTheme="minorHAnsi" w:cstheme="minorHAnsi"/>
          <w:sz w:val="36"/>
          <w:szCs w:val="36"/>
        </w:rPr>
        <w:t xml:space="preserve"> sin embargo</w:t>
      </w:r>
      <w:r w:rsidR="00B13C48" w:rsidRPr="006A14DD">
        <w:rPr>
          <w:rFonts w:asciiTheme="minorHAnsi" w:hAnsiTheme="minorHAnsi" w:cstheme="minorHAnsi"/>
          <w:sz w:val="36"/>
          <w:szCs w:val="36"/>
        </w:rPr>
        <w:t xml:space="preserve"> una producción de 114</w:t>
      </w:r>
      <w:r w:rsidRPr="006A14DD">
        <w:rPr>
          <w:rFonts w:asciiTheme="minorHAnsi" w:hAnsiTheme="minorHAnsi" w:cstheme="minorHAnsi"/>
          <w:sz w:val="36"/>
          <w:szCs w:val="36"/>
        </w:rPr>
        <w:t xml:space="preserve"> t por valor de h</w:t>
      </w:r>
      <w:r w:rsidR="00B13C48" w:rsidRPr="006A14DD">
        <w:rPr>
          <w:rFonts w:asciiTheme="minorHAnsi" w:hAnsiTheme="minorHAnsi" w:cstheme="minorHAnsi"/>
          <w:sz w:val="36"/>
          <w:szCs w:val="36"/>
        </w:rPr>
        <w:t>asta 5</w:t>
      </w:r>
      <w:r w:rsidR="00D77B79" w:rsidRPr="006A14DD">
        <w:rPr>
          <w:rFonts w:asciiTheme="minorHAnsi" w:hAnsiTheme="minorHAnsi" w:cstheme="minorHAnsi"/>
          <w:sz w:val="36"/>
          <w:szCs w:val="36"/>
        </w:rPr>
        <w:t>.200 millones de dólares</w:t>
      </w:r>
      <w:r w:rsidR="000A7A94" w:rsidRPr="006A14DD">
        <w:rPr>
          <w:rFonts w:asciiTheme="minorHAnsi" w:hAnsiTheme="minorHAnsi" w:cstheme="minorHAnsi"/>
          <w:sz w:val="36"/>
          <w:szCs w:val="36"/>
        </w:rPr>
        <w:t xml:space="preserve">, incluyendo el año 2010, cuando comenzó el “salto” productivo en un contexto de precios que </w:t>
      </w:r>
      <w:r w:rsidR="00D77B79" w:rsidRPr="006A14DD">
        <w:rPr>
          <w:rFonts w:asciiTheme="minorHAnsi" w:hAnsiTheme="minorHAnsi" w:cstheme="minorHAnsi"/>
          <w:sz w:val="36"/>
          <w:szCs w:val="36"/>
        </w:rPr>
        <w:t>evolucionaron desde unos 250 dólares</w:t>
      </w:r>
      <w:r w:rsidR="000A7A94" w:rsidRPr="006A14DD">
        <w:rPr>
          <w:rFonts w:asciiTheme="minorHAnsi" w:hAnsiTheme="minorHAnsi" w:cstheme="minorHAnsi"/>
          <w:sz w:val="36"/>
          <w:szCs w:val="36"/>
        </w:rPr>
        <w:t xml:space="preserve"> la onza troy el año 2000 a un tope de casi 1.900 el 2011 con descenso a los 1.200 actuales.</w:t>
      </w:r>
    </w:p>
    <w:p w:rsidR="000A7A94" w:rsidRPr="006A14DD" w:rsidRDefault="000A7A94"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t xml:space="preserve">La rendición de cuentas para el 2014, expuesta hace tres meses por el Servicio estatal de Registro y Control de Metales y Minerales (Senarecom) da cuenta de que Bolivia llegó al tope histórico de 34 toneladas de oro por valor de 1.397 </w:t>
      </w:r>
      <w:r w:rsidR="00D77B79" w:rsidRPr="006A14DD">
        <w:rPr>
          <w:rFonts w:asciiTheme="minorHAnsi" w:hAnsiTheme="minorHAnsi" w:cstheme="minorHAnsi"/>
          <w:sz w:val="36"/>
          <w:szCs w:val="36"/>
        </w:rPr>
        <w:t>millones de dólares.</w:t>
      </w:r>
    </w:p>
    <w:p w:rsidR="00BE74EF" w:rsidRPr="006A14DD" w:rsidRDefault="000A7A94" w:rsidP="006A14DD">
      <w:pPr>
        <w:pStyle w:val="Pa8"/>
        <w:spacing w:after="120" w:line="240" w:lineRule="auto"/>
        <w:jc w:val="both"/>
        <w:rPr>
          <w:rFonts w:asciiTheme="minorHAnsi" w:hAnsiTheme="minorHAnsi" w:cstheme="minorHAnsi"/>
          <w:sz w:val="36"/>
          <w:szCs w:val="36"/>
        </w:rPr>
      </w:pPr>
      <w:r w:rsidRPr="006A14DD">
        <w:rPr>
          <w:rFonts w:asciiTheme="minorHAnsi" w:hAnsiTheme="minorHAnsi" w:cstheme="minorHAnsi"/>
          <w:sz w:val="36"/>
          <w:szCs w:val="36"/>
        </w:rPr>
        <w:t>“Probablemente haya un contrabando hacia</w:t>
      </w:r>
      <w:r w:rsidR="00970A53" w:rsidRPr="006A14DD">
        <w:rPr>
          <w:rFonts w:asciiTheme="minorHAnsi" w:hAnsiTheme="minorHAnsi" w:cstheme="minorHAnsi"/>
          <w:sz w:val="36"/>
          <w:szCs w:val="36"/>
        </w:rPr>
        <w:t xml:space="preserve"> nuestro país pero las cifras muestran que sería de pequeña proporción y que no </w:t>
      </w:r>
      <w:r w:rsidR="00BE74EF" w:rsidRPr="006A14DD">
        <w:rPr>
          <w:rFonts w:asciiTheme="minorHAnsi" w:hAnsiTheme="minorHAnsi" w:cstheme="minorHAnsi"/>
          <w:sz w:val="36"/>
          <w:szCs w:val="36"/>
        </w:rPr>
        <w:t>explicaría el incremento de la producción boliviana”</w:t>
      </w:r>
      <w:r w:rsidR="00E60262" w:rsidRPr="006A14DD">
        <w:rPr>
          <w:rFonts w:asciiTheme="minorHAnsi" w:hAnsiTheme="minorHAnsi" w:cstheme="minorHAnsi"/>
          <w:sz w:val="36"/>
          <w:szCs w:val="36"/>
        </w:rPr>
        <w:t>,</w:t>
      </w:r>
      <w:r w:rsidR="00D30474" w:rsidRPr="006A14DD">
        <w:rPr>
          <w:rFonts w:asciiTheme="minorHAnsi" w:hAnsiTheme="minorHAnsi" w:cstheme="minorHAnsi"/>
          <w:sz w:val="36"/>
          <w:szCs w:val="36"/>
        </w:rPr>
        <w:t xml:space="preserve"> afirma el analista minero </w:t>
      </w:r>
      <w:r w:rsidR="00BE74EF" w:rsidRPr="006A14DD">
        <w:rPr>
          <w:rFonts w:asciiTheme="minorHAnsi" w:hAnsiTheme="minorHAnsi" w:cstheme="minorHAnsi"/>
          <w:sz w:val="36"/>
          <w:szCs w:val="36"/>
        </w:rPr>
        <w:t>Héctor Córdova, en un reciente trabajo para el C</w:t>
      </w:r>
      <w:r w:rsidR="00046A02" w:rsidRPr="006A14DD">
        <w:rPr>
          <w:rFonts w:asciiTheme="minorHAnsi" w:hAnsiTheme="minorHAnsi" w:cstheme="minorHAnsi"/>
          <w:sz w:val="36"/>
          <w:szCs w:val="36"/>
        </w:rPr>
        <w:t>entro de Estudios para el Desarrollo Laboral y agrario (C</w:t>
      </w:r>
      <w:r w:rsidR="00BE74EF" w:rsidRPr="006A14DD">
        <w:rPr>
          <w:rFonts w:asciiTheme="minorHAnsi" w:hAnsiTheme="minorHAnsi" w:cstheme="minorHAnsi"/>
          <w:sz w:val="36"/>
          <w:szCs w:val="36"/>
        </w:rPr>
        <w:t>EDLA</w:t>
      </w:r>
      <w:r w:rsidR="00046A02" w:rsidRPr="006A14DD">
        <w:rPr>
          <w:rFonts w:asciiTheme="minorHAnsi" w:hAnsiTheme="minorHAnsi" w:cstheme="minorHAnsi"/>
          <w:sz w:val="36"/>
          <w:szCs w:val="36"/>
        </w:rPr>
        <w:t>)</w:t>
      </w:r>
      <w:r w:rsidR="00E60262" w:rsidRPr="006A14DD">
        <w:rPr>
          <w:rFonts w:asciiTheme="minorHAnsi" w:hAnsiTheme="minorHAnsi" w:cstheme="minorHAnsi"/>
          <w:sz w:val="36"/>
          <w:szCs w:val="36"/>
        </w:rPr>
        <w:t>.</w:t>
      </w:r>
    </w:p>
    <w:p w:rsidR="00B93936" w:rsidRPr="006A14DD" w:rsidRDefault="00E60262"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lastRenderedPageBreak/>
        <w:t>“Por el contrario, las informaciones hacen pensar que, finalmente, se comienza a registrar la producción boliviana como tal”,</w:t>
      </w:r>
      <w:r w:rsidR="000C1D21" w:rsidRPr="006A14DD">
        <w:rPr>
          <w:rFonts w:asciiTheme="minorHAnsi" w:hAnsiTheme="minorHAnsi" w:cstheme="minorHAnsi"/>
          <w:sz w:val="36"/>
          <w:szCs w:val="36"/>
        </w:rPr>
        <w:t xml:space="preserve"> reveló</w:t>
      </w:r>
      <w:r w:rsidR="00D30474" w:rsidRPr="006A14DD">
        <w:rPr>
          <w:rFonts w:asciiTheme="minorHAnsi" w:hAnsiTheme="minorHAnsi" w:cstheme="minorHAnsi"/>
          <w:sz w:val="36"/>
          <w:szCs w:val="36"/>
        </w:rPr>
        <w:t xml:space="preserve"> el también ex viceministro </w:t>
      </w:r>
      <w:r w:rsidR="00B93936" w:rsidRPr="006A14DD">
        <w:rPr>
          <w:rFonts w:asciiTheme="minorHAnsi" w:hAnsiTheme="minorHAnsi" w:cstheme="minorHAnsi"/>
          <w:sz w:val="36"/>
          <w:szCs w:val="36"/>
        </w:rPr>
        <w:t>y ex presidente de la minera estatal Comibol, quien alertó por evasión fiscal y elusiones impositivas del sector, que acumularían 3.000 millones en los últimos cuatro años.</w:t>
      </w:r>
    </w:p>
    <w:p w:rsidR="000C59C4" w:rsidRPr="006A14DD" w:rsidRDefault="000C59C4"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En tanto, productores cooperativistas y “rescatistas” que compran oro a los productores protagonizan estas semanas escaramuzas con exportadores y otros vendedores menores, incluidos los joyeros pequeños, por la retención de las regalías, que el gobierno encargó a éstos últimos, obligándolos a inscripción y llenado d</w:t>
      </w:r>
      <w:r w:rsidR="00365872" w:rsidRPr="006A14DD">
        <w:rPr>
          <w:rFonts w:asciiTheme="minorHAnsi" w:hAnsiTheme="minorHAnsi" w:cstheme="minorHAnsi"/>
          <w:sz w:val="36"/>
          <w:szCs w:val="36"/>
        </w:rPr>
        <w:t>e formularios y libros</w:t>
      </w:r>
      <w:r w:rsidRPr="006A14DD">
        <w:rPr>
          <w:rFonts w:asciiTheme="minorHAnsi" w:hAnsiTheme="minorHAnsi" w:cstheme="minorHAnsi"/>
          <w:sz w:val="36"/>
          <w:szCs w:val="36"/>
        </w:rPr>
        <w:t>.</w:t>
      </w:r>
    </w:p>
    <w:p w:rsidR="000C59C4" w:rsidRPr="006A14DD" w:rsidRDefault="000C59C4"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La reciente temporada de lluvias afectó la producción al primer trimestre, extrayéndose sólo la mitad de </w:t>
      </w:r>
      <w:r w:rsidR="00365872" w:rsidRPr="006A14DD">
        <w:rPr>
          <w:rFonts w:asciiTheme="minorHAnsi" w:hAnsiTheme="minorHAnsi" w:cstheme="minorHAnsi"/>
          <w:sz w:val="36"/>
          <w:szCs w:val="36"/>
        </w:rPr>
        <w:t>los 9.5 t logradas el año pasado en igual periodo, aunque la época seca ayuda a mejorar las cuentas para cerrar el año con cerca de 20 t, según las proyecciones con base en la contabilización de regalías pagadas para oro “marginal” (artesanal), metálico y en joyas.</w:t>
      </w:r>
    </w:p>
    <w:p w:rsidR="00365872" w:rsidRPr="006A14DD" w:rsidRDefault="00365872" w:rsidP="006A14DD">
      <w:pPr>
        <w:pStyle w:val="Default"/>
        <w:spacing w:after="120"/>
        <w:jc w:val="both"/>
        <w:rPr>
          <w:rFonts w:asciiTheme="minorHAnsi" w:hAnsiTheme="minorHAnsi" w:cstheme="minorHAnsi"/>
          <w:b/>
          <w:sz w:val="36"/>
          <w:szCs w:val="36"/>
        </w:rPr>
      </w:pPr>
      <w:r w:rsidRPr="006A14DD">
        <w:rPr>
          <w:rFonts w:asciiTheme="minorHAnsi" w:hAnsiTheme="minorHAnsi" w:cstheme="minorHAnsi"/>
          <w:b/>
          <w:sz w:val="36"/>
          <w:szCs w:val="36"/>
        </w:rPr>
        <w:t>ENCUENTRO INTERNACIONAL SOBRE EL ORO</w:t>
      </w:r>
    </w:p>
    <w:p w:rsidR="00365872" w:rsidRPr="006A14DD" w:rsidRDefault="00B93936"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Datos, análisis, transformaciones y expectativas sobre las condiciones reales de la explotación de oro en el mundo, Sudamérica y Bolivia, serán considerados  este jueves 28 por expertos de Colombia, Brasil, Ecuador y Argentina, que junto a sus pares bolivianos participarán del seminario internacional sobre el tema en La Paz, organizado por el CEDLA.</w:t>
      </w:r>
    </w:p>
    <w:p w:rsidR="00365872" w:rsidRPr="006A14DD" w:rsidRDefault="00367572"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lastRenderedPageBreak/>
        <w:t>Uno</w:t>
      </w:r>
      <w:r w:rsidR="00365872" w:rsidRPr="006A14DD">
        <w:rPr>
          <w:rFonts w:asciiTheme="minorHAnsi" w:hAnsiTheme="minorHAnsi" w:cstheme="minorHAnsi"/>
          <w:sz w:val="36"/>
          <w:szCs w:val="36"/>
        </w:rPr>
        <w:t xml:space="preserve"> de los panoramas que anteceden al evento es precisamente el de Héctor Córdova, docente y consultor de varios centros de análisis minero.</w:t>
      </w:r>
    </w:p>
    <w:p w:rsidR="00B93936" w:rsidRPr="006A14DD" w:rsidRDefault="00365872"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”P</w:t>
      </w:r>
      <w:r w:rsidR="00B93936" w:rsidRPr="006A14DD">
        <w:rPr>
          <w:rFonts w:asciiTheme="minorHAnsi" w:hAnsiTheme="minorHAnsi" w:cstheme="minorHAnsi"/>
          <w:sz w:val="36"/>
          <w:szCs w:val="36"/>
        </w:rPr>
        <w:t>ensar que el consumo de mercurio se encuentre entre tres y cuatro toneladas por tonelada de oro parece acercarse a la realidad. En este escenario, las 120 toneladas de consumo de mercurio reportadas por Mercury Wa</w:t>
      </w:r>
      <w:r w:rsidRPr="006A14DD">
        <w:rPr>
          <w:rFonts w:asciiTheme="minorHAnsi" w:hAnsiTheme="minorHAnsi" w:cstheme="minorHAnsi"/>
          <w:sz w:val="36"/>
          <w:szCs w:val="36"/>
        </w:rPr>
        <w:t>tch implicarían una ‘producción’</w:t>
      </w:r>
      <w:r w:rsidR="00B93936" w:rsidRPr="006A14DD">
        <w:rPr>
          <w:rFonts w:asciiTheme="minorHAnsi" w:hAnsiTheme="minorHAnsi" w:cstheme="minorHAnsi"/>
          <w:sz w:val="36"/>
          <w:szCs w:val="36"/>
        </w:rPr>
        <w:t xml:space="preserve"> de 30 a 40 toneladas de oro”, dijo.</w:t>
      </w:r>
    </w:p>
    <w:p w:rsidR="00B93936" w:rsidRPr="006A14DD" w:rsidRDefault="00B93936"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“A partir del análisis de las alterna</w:t>
      </w:r>
      <w:r w:rsidR="00365872" w:rsidRPr="006A14DD">
        <w:rPr>
          <w:rFonts w:asciiTheme="minorHAnsi" w:hAnsiTheme="minorHAnsi" w:cstheme="minorHAnsi"/>
          <w:sz w:val="36"/>
          <w:szCs w:val="36"/>
        </w:rPr>
        <w:t>tivas mencionadas, lo más proba</w:t>
      </w:r>
      <w:r w:rsidRPr="006A14DD">
        <w:rPr>
          <w:rFonts w:asciiTheme="minorHAnsi" w:hAnsiTheme="minorHAnsi" w:cstheme="minorHAnsi"/>
          <w:sz w:val="36"/>
          <w:szCs w:val="36"/>
        </w:rPr>
        <w:t>ble es que el oro reportado en las últimas gestiones se acerque a la producción real de Bolivia. Esto significaría que ha habido evasión y elusión impositiva y regalitaria de gran magnitud, provocando un daño económ</w:t>
      </w:r>
      <w:r w:rsidR="00365872" w:rsidRPr="006A14DD">
        <w:rPr>
          <w:rFonts w:asciiTheme="minorHAnsi" w:hAnsiTheme="minorHAnsi" w:cstheme="minorHAnsi"/>
          <w:sz w:val="36"/>
          <w:szCs w:val="36"/>
        </w:rPr>
        <w:t>ico al Estado”, concluyó</w:t>
      </w:r>
      <w:r w:rsidRPr="006A14DD">
        <w:rPr>
          <w:rFonts w:asciiTheme="minorHAnsi" w:hAnsiTheme="minorHAnsi" w:cstheme="minorHAnsi"/>
          <w:sz w:val="36"/>
          <w:szCs w:val="36"/>
        </w:rPr>
        <w:t>.</w:t>
      </w:r>
    </w:p>
    <w:p w:rsidR="005A6DF1" w:rsidRPr="006A14DD" w:rsidRDefault="00B93936"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Su trabajo forma parte de uno de los dos libros que serán presentados en el seminario, con diversos análisis sobre la explotación de oro, particularmente las transformaciones sociales que </w:t>
      </w:r>
      <w:r w:rsidR="005A6DF1" w:rsidRPr="006A14DD">
        <w:rPr>
          <w:rFonts w:asciiTheme="minorHAnsi" w:hAnsiTheme="minorHAnsi" w:cstheme="minorHAnsi"/>
          <w:sz w:val="36"/>
          <w:szCs w:val="36"/>
        </w:rPr>
        <w:t>origina, sus impactos en las comunidades y  las políticas públicas aplicadas, para debate entre los actores del sector, cada vez más distanciados por brechas de capital, inversiones y roles patronal- adinerado o dependiente-“barranquillero”, que han transformado las relaciones de producción, de acuerdo a otro experto, Pablo Poveda.</w:t>
      </w:r>
    </w:p>
    <w:p w:rsidR="005A6DF1" w:rsidRPr="006A14DD" w:rsidRDefault="005A6DF1"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En Tipuani, Guanay y Mapiri, el corazón de la explotación aurífera del país, se ha detectado “el predominio de un grupo reducido de cooperativas y algunas empresas chicas </w:t>
      </w:r>
      <w:r w:rsidRPr="006A14DD">
        <w:rPr>
          <w:rFonts w:asciiTheme="minorHAnsi" w:hAnsiTheme="minorHAnsi" w:cstheme="minorHAnsi"/>
          <w:sz w:val="36"/>
          <w:szCs w:val="36"/>
        </w:rPr>
        <w:lastRenderedPageBreak/>
        <w:t>con mayores inversiones y derechos sobre la tierra”, quedando por estudiar  “las implicancias del dominio de este grupo superior, por encima de las 1.000 hectáreas en concesiones y con maquinización, por sobre el resto de los actore</w:t>
      </w:r>
      <w:r w:rsidR="004134B6" w:rsidRPr="006A14DD">
        <w:rPr>
          <w:rFonts w:asciiTheme="minorHAnsi" w:hAnsiTheme="minorHAnsi" w:cstheme="minorHAnsi"/>
          <w:sz w:val="36"/>
          <w:szCs w:val="36"/>
        </w:rPr>
        <w:t>s”, dice Neyer Nogales, otro ex</w:t>
      </w:r>
      <w:r w:rsidRPr="006A14DD">
        <w:rPr>
          <w:rFonts w:asciiTheme="minorHAnsi" w:hAnsiTheme="minorHAnsi" w:cstheme="minorHAnsi"/>
          <w:sz w:val="36"/>
          <w:szCs w:val="36"/>
        </w:rPr>
        <w:t xml:space="preserve">perto que recorrió la zona </w:t>
      </w:r>
    </w:p>
    <w:p w:rsidR="00365872" w:rsidRPr="006A14DD" w:rsidRDefault="005A6DF1"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El debate comprenderá a la Central Obrera</w:t>
      </w:r>
      <w:r w:rsidR="00815828" w:rsidRPr="006A14DD">
        <w:rPr>
          <w:rFonts w:asciiTheme="minorHAnsi" w:hAnsiTheme="minorHAnsi" w:cstheme="minorHAnsi"/>
          <w:sz w:val="36"/>
          <w:szCs w:val="36"/>
        </w:rPr>
        <w:t xml:space="preserve"> Boliviana</w:t>
      </w:r>
      <w:r w:rsidRPr="006A14DD">
        <w:rPr>
          <w:rFonts w:asciiTheme="minorHAnsi" w:hAnsiTheme="minorHAnsi" w:cstheme="minorHAnsi"/>
          <w:sz w:val="36"/>
          <w:szCs w:val="36"/>
        </w:rPr>
        <w:t xml:space="preserve">, la Federación </w:t>
      </w:r>
      <w:r w:rsidR="00CA55E5" w:rsidRPr="006A14DD">
        <w:rPr>
          <w:rFonts w:asciiTheme="minorHAnsi" w:hAnsiTheme="minorHAnsi" w:cstheme="minorHAnsi"/>
          <w:sz w:val="36"/>
          <w:szCs w:val="36"/>
        </w:rPr>
        <w:t>de mineros y las distintas cooperativas auríferas, además de organismos estatales como la Comibol, los ministerios de Minería, Trabajo y Medio Ambiente e</w:t>
      </w:r>
      <w:r w:rsidRPr="006A14DD">
        <w:rPr>
          <w:rFonts w:asciiTheme="minorHAnsi" w:hAnsiTheme="minorHAnsi" w:cstheme="minorHAnsi"/>
          <w:sz w:val="36"/>
          <w:szCs w:val="36"/>
        </w:rPr>
        <w:t xml:space="preserve"> instituciones privadas como las asociaciones </w:t>
      </w:r>
      <w:r w:rsidR="00CA55E5" w:rsidRPr="006A14DD">
        <w:rPr>
          <w:rFonts w:asciiTheme="minorHAnsi" w:hAnsiTheme="minorHAnsi" w:cstheme="minorHAnsi"/>
          <w:sz w:val="36"/>
          <w:szCs w:val="36"/>
        </w:rPr>
        <w:t>de Mineros Medianos, de Barranquilleros, afectados por la explotación minera, CEPRO</w:t>
      </w:r>
      <w:r w:rsidR="00D77B79" w:rsidRPr="006A14DD">
        <w:rPr>
          <w:rFonts w:asciiTheme="minorHAnsi" w:hAnsiTheme="minorHAnsi" w:cstheme="minorHAnsi"/>
          <w:sz w:val="36"/>
          <w:szCs w:val="36"/>
        </w:rPr>
        <w:t xml:space="preserve">MIN, LABOR y Cumbres </w:t>
      </w:r>
      <w:r w:rsidR="00365872" w:rsidRPr="006A14DD">
        <w:rPr>
          <w:rFonts w:asciiTheme="minorHAnsi" w:hAnsiTheme="minorHAnsi" w:cstheme="minorHAnsi"/>
          <w:sz w:val="36"/>
          <w:szCs w:val="36"/>
        </w:rPr>
        <w:t>del Sajama.</w:t>
      </w:r>
    </w:p>
    <w:p w:rsidR="00CA55E5" w:rsidRPr="006A14DD" w:rsidRDefault="005A6DF1" w:rsidP="006A14DD">
      <w:pPr>
        <w:pStyle w:val="Default"/>
        <w:spacing w:after="120"/>
        <w:jc w:val="both"/>
        <w:rPr>
          <w:rFonts w:asciiTheme="minorHAnsi" w:hAnsiTheme="minorHAnsi" w:cstheme="minorHAnsi"/>
          <w:i/>
          <w:sz w:val="36"/>
          <w:szCs w:val="36"/>
        </w:rPr>
      </w:pPr>
      <w:r w:rsidRPr="006A14DD">
        <w:rPr>
          <w:rFonts w:asciiTheme="minorHAnsi" w:hAnsiTheme="minorHAnsi" w:cstheme="minorHAnsi"/>
          <w:sz w:val="36"/>
          <w:szCs w:val="36"/>
        </w:rPr>
        <w:t>En el quinquenio transcurrido, l</w:t>
      </w:r>
      <w:r w:rsidR="00CA55E5" w:rsidRPr="006A14DD">
        <w:rPr>
          <w:rFonts w:asciiTheme="minorHAnsi" w:hAnsiTheme="minorHAnsi" w:cstheme="minorHAnsi"/>
          <w:sz w:val="36"/>
          <w:szCs w:val="36"/>
        </w:rPr>
        <w:t>os registros de la explotación aurífera dieron saltos insospechados</w:t>
      </w:r>
      <w:r w:rsidRPr="006A14DD">
        <w:rPr>
          <w:rFonts w:asciiTheme="minorHAnsi" w:hAnsiTheme="minorHAnsi" w:cstheme="minorHAnsi"/>
          <w:sz w:val="36"/>
          <w:szCs w:val="36"/>
        </w:rPr>
        <w:t>:</w:t>
      </w:r>
      <w:r w:rsidR="00CA55E5" w:rsidRPr="006A14DD">
        <w:rPr>
          <w:rFonts w:asciiTheme="minorHAnsi" w:hAnsiTheme="minorHAnsi" w:cstheme="minorHAnsi"/>
          <w:sz w:val="36"/>
          <w:szCs w:val="36"/>
        </w:rPr>
        <w:t xml:space="preserve"> </w:t>
      </w:r>
      <w:r w:rsidR="00365872" w:rsidRPr="006A14DD">
        <w:rPr>
          <w:rFonts w:asciiTheme="minorHAnsi" w:hAnsiTheme="minorHAnsi" w:cstheme="minorHAnsi"/>
          <w:sz w:val="36"/>
          <w:szCs w:val="36"/>
        </w:rPr>
        <w:t>de 6.5 t anuales, aumentaron</w:t>
      </w:r>
      <w:r w:rsidR="00CA55E5" w:rsidRPr="006A14DD">
        <w:rPr>
          <w:rFonts w:asciiTheme="minorHAnsi" w:hAnsiTheme="minorHAnsi" w:cstheme="minorHAnsi"/>
          <w:sz w:val="36"/>
          <w:szCs w:val="36"/>
        </w:rPr>
        <w:t xml:space="preserve"> a 27, bajaron a 18 y volvie</w:t>
      </w:r>
      <w:r w:rsidR="00365872" w:rsidRPr="006A14DD">
        <w:rPr>
          <w:rFonts w:asciiTheme="minorHAnsi" w:hAnsiTheme="minorHAnsi" w:cstheme="minorHAnsi"/>
          <w:sz w:val="36"/>
          <w:szCs w:val="36"/>
        </w:rPr>
        <w:t xml:space="preserve">ron a </w:t>
      </w:r>
      <w:r w:rsidRPr="006A14DD">
        <w:rPr>
          <w:rFonts w:asciiTheme="minorHAnsi" w:hAnsiTheme="minorHAnsi" w:cstheme="minorHAnsi"/>
          <w:sz w:val="36"/>
          <w:szCs w:val="36"/>
        </w:rPr>
        <w:t>subir a más de 40 toneladas</w:t>
      </w:r>
      <w:r w:rsidR="00365872" w:rsidRPr="006A14DD">
        <w:rPr>
          <w:rFonts w:asciiTheme="minorHAnsi" w:hAnsiTheme="minorHAnsi" w:cstheme="minorHAnsi"/>
          <w:sz w:val="36"/>
          <w:szCs w:val="36"/>
        </w:rPr>
        <w:t>, recuerda</w:t>
      </w:r>
      <w:r w:rsidR="00CA55E5" w:rsidRPr="006A14DD">
        <w:rPr>
          <w:rFonts w:asciiTheme="minorHAnsi" w:hAnsiTheme="minorHAnsi" w:cstheme="minorHAnsi"/>
          <w:sz w:val="36"/>
          <w:szCs w:val="36"/>
        </w:rPr>
        <w:t xml:space="preserve"> Córdova</w:t>
      </w:r>
      <w:r w:rsidR="003749D0" w:rsidRPr="006A14DD">
        <w:rPr>
          <w:rFonts w:asciiTheme="minorHAnsi" w:hAnsiTheme="minorHAnsi" w:cstheme="minorHAnsi"/>
          <w:sz w:val="36"/>
          <w:szCs w:val="36"/>
        </w:rPr>
        <w:t>.</w:t>
      </w:r>
    </w:p>
    <w:p w:rsidR="00CA55E5" w:rsidRPr="006A14DD" w:rsidRDefault="00367572"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En</w:t>
      </w:r>
      <w:r w:rsidR="00242A35" w:rsidRPr="006A14DD">
        <w:rPr>
          <w:rFonts w:asciiTheme="minorHAnsi" w:hAnsiTheme="minorHAnsi" w:cstheme="minorHAnsi"/>
          <w:sz w:val="36"/>
          <w:szCs w:val="36"/>
        </w:rPr>
        <w:t xml:space="preserve"> </w:t>
      </w:r>
      <w:r w:rsidRPr="006A14DD">
        <w:rPr>
          <w:rFonts w:asciiTheme="minorHAnsi" w:hAnsiTheme="minorHAnsi" w:cstheme="minorHAnsi"/>
          <w:sz w:val="36"/>
          <w:szCs w:val="36"/>
        </w:rPr>
        <w:t xml:space="preserve">el primer trimestre de </w:t>
      </w:r>
      <w:r w:rsidR="00242A35" w:rsidRPr="006A14DD">
        <w:rPr>
          <w:rFonts w:asciiTheme="minorHAnsi" w:hAnsiTheme="minorHAnsi" w:cstheme="minorHAnsi"/>
          <w:sz w:val="36"/>
          <w:szCs w:val="36"/>
        </w:rPr>
        <w:t>2014, el país produjo</w:t>
      </w:r>
      <w:r w:rsidRPr="006A14DD">
        <w:rPr>
          <w:rFonts w:asciiTheme="minorHAnsi" w:hAnsiTheme="minorHAnsi" w:cstheme="minorHAnsi"/>
          <w:sz w:val="36"/>
          <w:szCs w:val="36"/>
        </w:rPr>
        <w:t xml:space="preserve">, según datos del </w:t>
      </w:r>
      <w:r w:rsidR="00242A35" w:rsidRPr="006A14DD">
        <w:rPr>
          <w:rFonts w:asciiTheme="minorHAnsi" w:hAnsiTheme="minorHAnsi" w:cstheme="minorHAnsi"/>
          <w:sz w:val="36"/>
          <w:szCs w:val="36"/>
        </w:rPr>
        <w:t xml:space="preserve">Senarecom, </w:t>
      </w:r>
      <w:r w:rsidRPr="006A14DD">
        <w:rPr>
          <w:rFonts w:asciiTheme="minorHAnsi" w:hAnsiTheme="minorHAnsi" w:cstheme="minorHAnsi"/>
          <w:sz w:val="36"/>
          <w:szCs w:val="36"/>
        </w:rPr>
        <w:t xml:space="preserve">8.9 t por valor de 367 </w:t>
      </w:r>
      <w:r w:rsidR="00D77B79" w:rsidRPr="006A14DD">
        <w:rPr>
          <w:rFonts w:asciiTheme="minorHAnsi" w:hAnsiTheme="minorHAnsi" w:cstheme="minorHAnsi"/>
          <w:sz w:val="36"/>
          <w:szCs w:val="36"/>
        </w:rPr>
        <w:t>millones de dólares</w:t>
      </w:r>
      <w:r w:rsidR="00242A35" w:rsidRPr="006A14DD">
        <w:rPr>
          <w:rFonts w:asciiTheme="minorHAnsi" w:hAnsiTheme="minorHAnsi" w:cstheme="minorHAnsi"/>
          <w:sz w:val="36"/>
          <w:szCs w:val="36"/>
        </w:rPr>
        <w:t xml:space="preserve">. </w:t>
      </w:r>
      <w:r w:rsidRPr="006A14DD">
        <w:rPr>
          <w:rFonts w:asciiTheme="minorHAnsi" w:hAnsiTheme="minorHAnsi" w:cstheme="minorHAnsi"/>
          <w:sz w:val="36"/>
          <w:szCs w:val="36"/>
        </w:rPr>
        <w:t xml:space="preserve">Para el mismo período en </w:t>
      </w:r>
      <w:r w:rsidR="00CA55E5" w:rsidRPr="006A14DD">
        <w:rPr>
          <w:rFonts w:asciiTheme="minorHAnsi" w:hAnsiTheme="minorHAnsi" w:cstheme="minorHAnsi"/>
          <w:sz w:val="36"/>
          <w:szCs w:val="36"/>
        </w:rPr>
        <w:t xml:space="preserve">2015 se reportaba 4.7 t, por 196 </w:t>
      </w:r>
      <w:r w:rsidR="00D77B79" w:rsidRPr="006A14DD">
        <w:rPr>
          <w:rFonts w:asciiTheme="minorHAnsi" w:hAnsiTheme="minorHAnsi" w:cstheme="minorHAnsi"/>
          <w:sz w:val="36"/>
          <w:szCs w:val="36"/>
        </w:rPr>
        <w:t>millones de dólares</w:t>
      </w:r>
      <w:r w:rsidRPr="006A14DD">
        <w:rPr>
          <w:rFonts w:asciiTheme="minorHAnsi" w:hAnsiTheme="minorHAnsi" w:cstheme="minorHAnsi"/>
          <w:sz w:val="36"/>
          <w:szCs w:val="36"/>
        </w:rPr>
        <w:t>, por lo que se prevé una caída de la producción en la presente gestión.</w:t>
      </w:r>
    </w:p>
    <w:p w:rsidR="00CA55E5" w:rsidRPr="006A14DD" w:rsidRDefault="00CA55E5" w:rsidP="006A14DD">
      <w:pPr>
        <w:pStyle w:val="Default"/>
        <w:spacing w:after="120"/>
        <w:jc w:val="both"/>
        <w:rPr>
          <w:rFonts w:asciiTheme="minorHAnsi" w:hAnsiTheme="minorHAnsi" w:cstheme="minorHAnsi"/>
          <w:b/>
          <w:sz w:val="36"/>
          <w:szCs w:val="36"/>
        </w:rPr>
      </w:pPr>
      <w:r w:rsidRPr="006A14DD">
        <w:rPr>
          <w:rFonts w:asciiTheme="minorHAnsi" w:hAnsiTheme="minorHAnsi" w:cstheme="minorHAnsi"/>
          <w:b/>
          <w:sz w:val="36"/>
          <w:szCs w:val="36"/>
        </w:rPr>
        <w:t>ELUSION Y EVASION IMPOSITIVAS</w:t>
      </w:r>
    </w:p>
    <w:p w:rsidR="00CA55E5"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Córdova cuestiona que en gestiones anteriores no se haya registrado entre 20 y 30 toneladas anuales de producción de oro, entre ellas las recientes de Palca</w:t>
      </w:r>
      <w:r w:rsidR="005A6DF1" w:rsidRPr="006A14DD">
        <w:rPr>
          <w:rFonts w:asciiTheme="minorHAnsi" w:hAnsiTheme="minorHAnsi" w:cstheme="minorHAnsi"/>
          <w:sz w:val="36"/>
          <w:szCs w:val="36"/>
        </w:rPr>
        <w:t xml:space="preserve">, en las </w:t>
      </w:r>
      <w:r w:rsidR="00367572" w:rsidRPr="006A14DD">
        <w:rPr>
          <w:rFonts w:asciiTheme="minorHAnsi" w:hAnsiTheme="minorHAnsi" w:cstheme="minorHAnsi"/>
          <w:sz w:val="36"/>
          <w:szCs w:val="36"/>
        </w:rPr>
        <w:t>cercanías</w:t>
      </w:r>
      <w:r w:rsidR="005A6DF1" w:rsidRPr="006A14DD">
        <w:rPr>
          <w:rFonts w:asciiTheme="minorHAnsi" w:hAnsiTheme="minorHAnsi" w:cstheme="minorHAnsi"/>
          <w:sz w:val="36"/>
          <w:szCs w:val="36"/>
        </w:rPr>
        <w:t xml:space="preserve"> de la ciudad de La Paz,</w:t>
      </w:r>
      <w:r w:rsidRPr="006A14DD">
        <w:rPr>
          <w:rFonts w:asciiTheme="minorHAnsi" w:hAnsiTheme="minorHAnsi" w:cstheme="minorHAnsi"/>
          <w:sz w:val="36"/>
          <w:szCs w:val="36"/>
        </w:rPr>
        <w:t xml:space="preserve"> y Arcopongo, en la provincia Inquisivi. </w:t>
      </w:r>
      <w:r w:rsidRPr="006A14DD">
        <w:rPr>
          <w:rFonts w:asciiTheme="minorHAnsi" w:hAnsiTheme="minorHAnsi" w:cstheme="minorHAnsi"/>
          <w:sz w:val="36"/>
          <w:szCs w:val="36"/>
        </w:rPr>
        <w:lastRenderedPageBreak/>
        <w:t>Cuestiona asimismo  que provengan de yacimientos marginales, atribuibles a la explotación artesanal.</w:t>
      </w:r>
    </w:p>
    <w:p w:rsidR="005A6DF1" w:rsidRPr="006A14DD" w:rsidRDefault="005A6DF1"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w:t>
      </w:r>
      <w:r w:rsidR="00CA55E5" w:rsidRPr="006A14DD">
        <w:rPr>
          <w:rFonts w:asciiTheme="minorHAnsi" w:hAnsiTheme="minorHAnsi" w:cstheme="minorHAnsi"/>
          <w:sz w:val="36"/>
          <w:szCs w:val="36"/>
        </w:rPr>
        <w:t xml:space="preserve">Por tanto, estaríamos hablando de una elusión del orden de los 250 </w:t>
      </w:r>
      <w:r w:rsidR="00D77B79" w:rsidRPr="006A14DD">
        <w:rPr>
          <w:rFonts w:asciiTheme="minorHAnsi" w:hAnsiTheme="minorHAnsi" w:cstheme="minorHAnsi"/>
          <w:sz w:val="36"/>
          <w:szCs w:val="36"/>
        </w:rPr>
        <w:t>millones de dólares</w:t>
      </w:r>
      <w:r w:rsidR="00242A35" w:rsidRPr="006A14DD">
        <w:rPr>
          <w:rFonts w:asciiTheme="minorHAnsi" w:hAnsiTheme="minorHAnsi" w:cstheme="minorHAnsi"/>
          <w:sz w:val="36"/>
          <w:szCs w:val="36"/>
        </w:rPr>
        <w:t>.</w:t>
      </w:r>
      <w:r w:rsidR="00CA55E5" w:rsidRPr="006A14DD">
        <w:rPr>
          <w:rFonts w:asciiTheme="minorHAnsi" w:hAnsiTheme="minorHAnsi" w:cstheme="minorHAnsi"/>
          <w:sz w:val="36"/>
          <w:szCs w:val="36"/>
        </w:rPr>
        <w:t xml:space="preserve"> y una evasión del orden de 100</w:t>
      </w:r>
      <w:r w:rsidR="00367572" w:rsidRPr="006A14DD">
        <w:rPr>
          <w:rFonts w:asciiTheme="minorHAnsi" w:hAnsiTheme="minorHAnsi" w:cstheme="minorHAnsi"/>
          <w:sz w:val="36"/>
          <w:szCs w:val="36"/>
        </w:rPr>
        <w:t xml:space="preserve"> </w:t>
      </w:r>
      <w:r w:rsidR="00D77B79" w:rsidRPr="006A14DD">
        <w:rPr>
          <w:rFonts w:asciiTheme="minorHAnsi" w:hAnsiTheme="minorHAnsi" w:cstheme="minorHAnsi"/>
          <w:sz w:val="36"/>
          <w:szCs w:val="36"/>
        </w:rPr>
        <w:t>millones de dólares</w:t>
      </w:r>
      <w:r w:rsidR="00367572" w:rsidRPr="006A14DD">
        <w:rPr>
          <w:rFonts w:asciiTheme="minorHAnsi" w:hAnsiTheme="minorHAnsi" w:cstheme="minorHAnsi"/>
          <w:sz w:val="36"/>
          <w:szCs w:val="36"/>
        </w:rPr>
        <w:t xml:space="preserve">, es decir 350 millones </w:t>
      </w:r>
      <w:r w:rsidR="00CA55E5" w:rsidRPr="006A14DD">
        <w:rPr>
          <w:rFonts w:asciiTheme="minorHAnsi" w:hAnsiTheme="minorHAnsi" w:cstheme="minorHAnsi"/>
          <w:sz w:val="36"/>
          <w:szCs w:val="36"/>
        </w:rPr>
        <w:t>menos para la gestión de municipios y gobernaciones</w:t>
      </w:r>
      <w:r w:rsidRPr="006A14DD">
        <w:rPr>
          <w:rFonts w:asciiTheme="minorHAnsi" w:hAnsiTheme="minorHAnsi" w:cstheme="minorHAnsi"/>
          <w:sz w:val="36"/>
          <w:szCs w:val="36"/>
        </w:rPr>
        <w:t>”</w:t>
      </w:r>
      <w:r w:rsidR="00CA55E5" w:rsidRPr="006A14DD">
        <w:rPr>
          <w:rFonts w:asciiTheme="minorHAnsi" w:hAnsiTheme="minorHAnsi" w:cstheme="minorHAnsi"/>
          <w:sz w:val="36"/>
          <w:szCs w:val="36"/>
        </w:rPr>
        <w:t xml:space="preserve">. </w:t>
      </w:r>
    </w:p>
    <w:p w:rsidR="00CA55E5" w:rsidRPr="006A14DD" w:rsidRDefault="005A6DF1"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El ex viceministro ca</w:t>
      </w:r>
      <w:r w:rsidR="004134B6" w:rsidRPr="006A14DD">
        <w:rPr>
          <w:rFonts w:asciiTheme="minorHAnsi" w:hAnsiTheme="minorHAnsi" w:cstheme="minorHAnsi"/>
          <w:sz w:val="36"/>
          <w:szCs w:val="36"/>
        </w:rPr>
        <w:t>r</w:t>
      </w:r>
      <w:r w:rsidRPr="006A14DD">
        <w:rPr>
          <w:rFonts w:asciiTheme="minorHAnsi" w:hAnsiTheme="minorHAnsi" w:cstheme="minorHAnsi"/>
          <w:sz w:val="36"/>
          <w:szCs w:val="36"/>
        </w:rPr>
        <w:t>acteriza</w:t>
      </w:r>
      <w:r w:rsidR="00CA55E5" w:rsidRPr="006A14DD">
        <w:rPr>
          <w:rFonts w:asciiTheme="minorHAnsi" w:hAnsiTheme="minorHAnsi" w:cstheme="minorHAnsi"/>
          <w:sz w:val="36"/>
          <w:szCs w:val="36"/>
        </w:rPr>
        <w:t xml:space="preserve"> la evasión tributaria como el uso de medios ilegales para reducir el pago de impuestos y la elusión impositiva el aprovechamiento de normas que permiten pagar menos regalías y tasas a utilidades (como la diferencia entre yacimientos marginales y cooperativas)</w:t>
      </w:r>
    </w:p>
    <w:p w:rsidR="00CA55E5"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¿Los operadores son realmente cooperativas?, se pregunta</w:t>
      </w:r>
      <w:r w:rsidR="005A6DF1" w:rsidRPr="006A14DD">
        <w:rPr>
          <w:rFonts w:asciiTheme="minorHAnsi" w:hAnsiTheme="minorHAnsi" w:cstheme="minorHAnsi"/>
          <w:sz w:val="36"/>
          <w:szCs w:val="36"/>
        </w:rPr>
        <w:t xml:space="preserve"> también. </w:t>
      </w:r>
      <w:r w:rsidR="00D77B79" w:rsidRPr="006A14DD">
        <w:rPr>
          <w:rFonts w:asciiTheme="minorHAnsi" w:hAnsiTheme="minorHAnsi" w:cstheme="minorHAnsi"/>
          <w:sz w:val="36"/>
          <w:szCs w:val="36"/>
        </w:rPr>
        <w:t xml:space="preserve">“Si no lo son y se trata más </w:t>
      </w:r>
      <w:r w:rsidRPr="006A14DD">
        <w:rPr>
          <w:rFonts w:asciiTheme="minorHAnsi" w:hAnsiTheme="minorHAnsi" w:cstheme="minorHAnsi"/>
          <w:sz w:val="36"/>
          <w:szCs w:val="36"/>
        </w:rPr>
        <w:t>bien de empresas con el rótulo de cooperat</w:t>
      </w:r>
      <w:r w:rsidR="005A6DF1" w:rsidRPr="006A14DD">
        <w:rPr>
          <w:rFonts w:asciiTheme="minorHAnsi" w:hAnsiTheme="minorHAnsi" w:cstheme="minorHAnsi"/>
          <w:sz w:val="36"/>
          <w:szCs w:val="36"/>
        </w:rPr>
        <w:t>ivas, la elusión es mucho mayor”.</w:t>
      </w:r>
    </w:p>
    <w:p w:rsidR="00CA55E5" w:rsidRPr="006A14DD" w:rsidRDefault="00CA55E5" w:rsidP="006A14DD">
      <w:pPr>
        <w:pStyle w:val="Default"/>
        <w:spacing w:after="120"/>
        <w:jc w:val="both"/>
        <w:rPr>
          <w:rFonts w:asciiTheme="minorHAnsi" w:hAnsiTheme="minorHAnsi" w:cstheme="minorHAnsi"/>
          <w:b/>
          <w:sz w:val="36"/>
          <w:szCs w:val="36"/>
        </w:rPr>
      </w:pPr>
      <w:r w:rsidRPr="006A14DD">
        <w:rPr>
          <w:rFonts w:asciiTheme="minorHAnsi" w:hAnsiTheme="minorHAnsi" w:cstheme="minorHAnsi"/>
          <w:b/>
          <w:sz w:val="36"/>
          <w:szCs w:val="36"/>
        </w:rPr>
        <w:t>COSTOS DE OPERACIÓN Y FRAUDE</w:t>
      </w:r>
    </w:p>
    <w:p w:rsidR="00CA55E5" w:rsidRPr="006A14DD" w:rsidRDefault="005A6DF1"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Otro de los datos a mano es que </w:t>
      </w:r>
      <w:r w:rsidR="00CA55E5" w:rsidRPr="006A14DD">
        <w:rPr>
          <w:rFonts w:asciiTheme="minorHAnsi" w:hAnsiTheme="minorHAnsi" w:cstheme="minorHAnsi"/>
          <w:sz w:val="36"/>
          <w:szCs w:val="36"/>
        </w:rPr>
        <w:t>el costo de operación bordea el 20% del valor bruto del producto con una utilid</w:t>
      </w:r>
      <w:r w:rsidR="004134B6" w:rsidRPr="006A14DD">
        <w:rPr>
          <w:rFonts w:asciiTheme="minorHAnsi" w:hAnsiTheme="minorHAnsi" w:cstheme="minorHAnsi"/>
          <w:sz w:val="36"/>
          <w:szCs w:val="36"/>
        </w:rPr>
        <w:t>ad del  80% del valor del metal, aunque otros expertos señalan que ésta no pasa del 50 % para los productores medianos quedando la otra mitad para socios dirigentes, vigilantes y administradores.</w:t>
      </w:r>
    </w:p>
    <w:p w:rsidR="00CA55E5"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“Estimando los mil millones de dólares anuales de producción, la utilidad anual sería de unos 800 millones de dólares. Éstos deberían pagar un impuesto de 300 millones de dólares. Por tanto, la elusión en el quinquenio bordearía los 1.500 millones dólares. Si incluimos en el análisis los últimos cuadro añ</w:t>
      </w:r>
      <w:r w:rsidR="004134B6" w:rsidRPr="006A14DD">
        <w:rPr>
          <w:rFonts w:asciiTheme="minorHAnsi" w:hAnsiTheme="minorHAnsi" w:cstheme="minorHAnsi"/>
          <w:sz w:val="36"/>
          <w:szCs w:val="36"/>
        </w:rPr>
        <w:t>os, estaríamos frente a una eva</w:t>
      </w:r>
      <w:r w:rsidRPr="006A14DD">
        <w:rPr>
          <w:rFonts w:asciiTheme="minorHAnsi" w:hAnsiTheme="minorHAnsi" w:cstheme="minorHAnsi"/>
          <w:sz w:val="36"/>
          <w:szCs w:val="36"/>
        </w:rPr>
        <w:t xml:space="preserve">sión y </w:t>
      </w:r>
      <w:r w:rsidRPr="006A14DD">
        <w:rPr>
          <w:rFonts w:asciiTheme="minorHAnsi" w:hAnsiTheme="minorHAnsi" w:cstheme="minorHAnsi"/>
          <w:sz w:val="36"/>
          <w:szCs w:val="36"/>
        </w:rPr>
        <w:lastRenderedPageBreak/>
        <w:t xml:space="preserve">elusión combinadas de </w:t>
      </w:r>
      <w:r w:rsidR="004134B6" w:rsidRPr="006A14DD">
        <w:rPr>
          <w:rFonts w:asciiTheme="minorHAnsi" w:hAnsiTheme="minorHAnsi" w:cstheme="minorHAnsi"/>
          <w:sz w:val="36"/>
          <w:szCs w:val="36"/>
        </w:rPr>
        <w:t>unos 3.000 millones de dólares”, asegura Córdova.</w:t>
      </w:r>
    </w:p>
    <w:p w:rsidR="004134B6"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En la eventualidad de que las 20 y 35 t </w:t>
      </w:r>
      <w:r w:rsidR="004134B6" w:rsidRPr="006A14DD">
        <w:rPr>
          <w:rFonts w:asciiTheme="minorHAnsi" w:hAnsiTheme="minorHAnsi" w:cstheme="minorHAnsi"/>
          <w:sz w:val="36"/>
          <w:szCs w:val="36"/>
        </w:rPr>
        <w:t>en cuestión</w:t>
      </w:r>
      <w:r w:rsidRPr="006A14DD">
        <w:rPr>
          <w:rFonts w:asciiTheme="minorHAnsi" w:hAnsiTheme="minorHAnsi" w:cstheme="minorHAnsi"/>
          <w:sz w:val="36"/>
          <w:szCs w:val="36"/>
        </w:rPr>
        <w:t xml:space="preserve"> prove</w:t>
      </w:r>
      <w:r w:rsidR="004134B6" w:rsidRPr="006A14DD">
        <w:rPr>
          <w:rFonts w:asciiTheme="minorHAnsi" w:hAnsiTheme="minorHAnsi" w:cstheme="minorHAnsi"/>
          <w:sz w:val="36"/>
          <w:szCs w:val="36"/>
        </w:rPr>
        <w:t xml:space="preserve">ngan del Perú, observó que allí </w:t>
      </w:r>
      <w:r w:rsidRPr="006A14DD">
        <w:rPr>
          <w:rFonts w:asciiTheme="minorHAnsi" w:hAnsiTheme="minorHAnsi" w:cstheme="minorHAnsi"/>
          <w:sz w:val="36"/>
          <w:szCs w:val="36"/>
        </w:rPr>
        <w:t>se da más bien una baja productiva que no corresponde a los informales y pequeños productores, sino a las tres más grandes empresas, lo que explica u</w:t>
      </w:r>
      <w:r w:rsidR="004134B6" w:rsidRPr="006A14DD">
        <w:rPr>
          <w:rFonts w:asciiTheme="minorHAnsi" w:hAnsiTheme="minorHAnsi" w:cstheme="minorHAnsi"/>
          <w:sz w:val="36"/>
          <w:szCs w:val="36"/>
        </w:rPr>
        <w:t>na baja de 20 toneladas de oro.</w:t>
      </w:r>
    </w:p>
    <w:p w:rsidR="00CA55E5" w:rsidRPr="006A14DD" w:rsidRDefault="004134B6"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Baja que se extiende a la parte peruana del río Madre de Dios</w:t>
      </w:r>
      <w:r w:rsidR="00CA55E5" w:rsidRPr="006A14DD">
        <w:rPr>
          <w:rFonts w:asciiTheme="minorHAnsi" w:hAnsiTheme="minorHAnsi" w:cstheme="minorHAnsi"/>
          <w:sz w:val="36"/>
          <w:szCs w:val="36"/>
        </w:rPr>
        <w:t xml:space="preserve"> y </w:t>
      </w:r>
      <w:r w:rsidRPr="006A14DD">
        <w:rPr>
          <w:rFonts w:asciiTheme="minorHAnsi" w:hAnsiTheme="minorHAnsi" w:cstheme="minorHAnsi"/>
          <w:sz w:val="36"/>
          <w:szCs w:val="36"/>
        </w:rPr>
        <w:t xml:space="preserve">que </w:t>
      </w:r>
      <w:r w:rsidR="00CA55E5" w:rsidRPr="006A14DD">
        <w:rPr>
          <w:rFonts w:asciiTheme="minorHAnsi" w:hAnsiTheme="minorHAnsi" w:cstheme="minorHAnsi"/>
          <w:sz w:val="36"/>
          <w:szCs w:val="36"/>
        </w:rPr>
        <w:t>tampoco</w:t>
      </w:r>
      <w:r w:rsidRPr="006A14DD">
        <w:rPr>
          <w:rFonts w:asciiTheme="minorHAnsi" w:hAnsiTheme="minorHAnsi" w:cstheme="minorHAnsi"/>
          <w:sz w:val="36"/>
          <w:szCs w:val="36"/>
        </w:rPr>
        <w:t xml:space="preserve"> explica </w:t>
      </w:r>
      <w:r w:rsidR="00CA55E5" w:rsidRPr="006A14DD">
        <w:rPr>
          <w:rFonts w:asciiTheme="minorHAnsi" w:hAnsiTheme="minorHAnsi" w:cstheme="minorHAnsi"/>
          <w:sz w:val="36"/>
          <w:szCs w:val="36"/>
        </w:rPr>
        <w:t xml:space="preserve"> </w:t>
      </w:r>
      <w:r w:rsidRPr="006A14DD">
        <w:rPr>
          <w:rFonts w:asciiTheme="minorHAnsi" w:hAnsiTheme="minorHAnsi" w:cstheme="minorHAnsi"/>
          <w:sz w:val="36"/>
          <w:szCs w:val="36"/>
        </w:rPr>
        <w:t>“</w:t>
      </w:r>
      <w:r w:rsidR="00CA55E5" w:rsidRPr="006A14DD">
        <w:rPr>
          <w:rFonts w:asciiTheme="minorHAnsi" w:hAnsiTheme="minorHAnsi" w:cstheme="minorHAnsi"/>
          <w:sz w:val="36"/>
          <w:szCs w:val="36"/>
        </w:rPr>
        <w:t>las 35 toneladas registradas en el ae</w:t>
      </w:r>
      <w:r w:rsidRPr="006A14DD">
        <w:rPr>
          <w:rFonts w:asciiTheme="minorHAnsi" w:hAnsiTheme="minorHAnsi" w:cstheme="minorHAnsi"/>
          <w:sz w:val="36"/>
          <w:szCs w:val="36"/>
        </w:rPr>
        <w:t>ropuerto de Lima [consignadas el 2014]</w:t>
      </w:r>
      <w:r w:rsidR="00CA55E5" w:rsidRPr="006A14DD">
        <w:rPr>
          <w:rFonts w:asciiTheme="minorHAnsi" w:hAnsiTheme="minorHAnsi" w:cstheme="minorHAnsi"/>
          <w:sz w:val="36"/>
          <w:szCs w:val="36"/>
        </w:rPr>
        <w:t xml:space="preserve"> y que algunos creen que es oro peruano”.</w:t>
      </w:r>
    </w:p>
    <w:p w:rsidR="00CA55E5"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 xml:space="preserve">En efecto, el diciembre del 2014, la prensa peruana reportó la acumulación de oro boliviano en barras perteneciente a 21 compañías bolivianas, que era despachado a estados Unidos mediante un “puente aéreo” </w:t>
      </w:r>
    </w:p>
    <w:p w:rsidR="00CA55E5" w:rsidRPr="006A14DD" w:rsidRDefault="00CA55E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“Estos cambios no sustentan la afirmación de que el oro que exporta Bolivia habría ingresado previamente como contrabando del Perú”, comentó Córdova.</w:t>
      </w:r>
    </w:p>
    <w:p w:rsidR="004F25B9" w:rsidRPr="006A14DD" w:rsidRDefault="00242A35" w:rsidP="006A14DD">
      <w:pPr>
        <w:pStyle w:val="Default"/>
        <w:spacing w:after="120"/>
        <w:jc w:val="both"/>
        <w:rPr>
          <w:rFonts w:asciiTheme="minorHAnsi" w:hAnsiTheme="minorHAnsi" w:cstheme="minorHAnsi"/>
          <w:sz w:val="36"/>
          <w:szCs w:val="36"/>
        </w:rPr>
      </w:pPr>
      <w:r w:rsidRPr="006A14DD">
        <w:rPr>
          <w:rFonts w:asciiTheme="minorHAnsi" w:hAnsiTheme="minorHAnsi" w:cstheme="minorHAnsi"/>
          <w:sz w:val="36"/>
          <w:szCs w:val="36"/>
        </w:rPr>
        <w:t>“M</w:t>
      </w:r>
      <w:r w:rsidR="004134B6" w:rsidRPr="006A14DD">
        <w:rPr>
          <w:rFonts w:asciiTheme="minorHAnsi" w:hAnsiTheme="minorHAnsi" w:cstheme="minorHAnsi"/>
          <w:sz w:val="36"/>
          <w:szCs w:val="36"/>
        </w:rPr>
        <w:t>edios de prensa, peruanos y bolivianos, reflejaron que entre enero y octubre de 2014 habían salido de Bolivia hacia EEUU por el aeropuerto de Lima, 35 toneladas de oro; por tanto, se puede presumir que la producción boliviana del 2014 rondó las 40 toneladas</w:t>
      </w:r>
      <w:r w:rsidRPr="006A14DD">
        <w:rPr>
          <w:rFonts w:asciiTheme="minorHAnsi" w:hAnsiTheme="minorHAnsi" w:cstheme="minorHAnsi"/>
          <w:sz w:val="36"/>
          <w:szCs w:val="36"/>
        </w:rPr>
        <w:t>”</w:t>
      </w:r>
      <w:r w:rsidR="004134B6" w:rsidRPr="006A14DD">
        <w:rPr>
          <w:rFonts w:asciiTheme="minorHAnsi" w:hAnsiTheme="minorHAnsi" w:cstheme="minorHAnsi"/>
          <w:sz w:val="36"/>
          <w:szCs w:val="36"/>
        </w:rPr>
        <w:t>.</w:t>
      </w:r>
    </w:p>
    <w:p w:rsidR="004F25B9" w:rsidRPr="006A14DD" w:rsidRDefault="004F25B9" w:rsidP="006A14DD">
      <w:pPr>
        <w:pStyle w:val="Default"/>
        <w:spacing w:after="120"/>
        <w:ind w:firstLine="113"/>
        <w:jc w:val="both"/>
        <w:rPr>
          <w:rFonts w:asciiTheme="minorHAnsi" w:hAnsiTheme="minorHAnsi" w:cstheme="minorHAnsi"/>
          <w:sz w:val="36"/>
          <w:szCs w:val="36"/>
        </w:rPr>
      </w:pPr>
    </w:p>
    <w:p w:rsidR="004F25B9" w:rsidRPr="006A14DD" w:rsidRDefault="004F25B9" w:rsidP="006A14DD">
      <w:pPr>
        <w:pStyle w:val="Default"/>
        <w:spacing w:after="120"/>
        <w:ind w:firstLine="113"/>
        <w:jc w:val="both"/>
        <w:rPr>
          <w:rFonts w:asciiTheme="minorHAnsi" w:hAnsiTheme="minorHAnsi" w:cstheme="minorHAnsi"/>
          <w:sz w:val="36"/>
          <w:szCs w:val="36"/>
        </w:rPr>
      </w:pPr>
    </w:p>
    <w:p w:rsidR="004F25B9" w:rsidRPr="006A14DD" w:rsidRDefault="004F25B9" w:rsidP="006A14DD">
      <w:pPr>
        <w:pStyle w:val="Default"/>
        <w:spacing w:after="120"/>
        <w:ind w:firstLine="113"/>
        <w:jc w:val="both"/>
        <w:rPr>
          <w:rFonts w:asciiTheme="minorHAnsi" w:hAnsiTheme="minorHAnsi" w:cstheme="minorHAnsi"/>
          <w:sz w:val="36"/>
          <w:szCs w:val="36"/>
        </w:rPr>
      </w:pPr>
    </w:p>
    <w:tbl>
      <w:tblPr>
        <w:tblStyle w:val="Tablaconcuadrcula"/>
        <w:tblW w:w="0" w:type="auto"/>
        <w:tblLook w:val="04A0" w:firstRow="1" w:lastRow="0" w:firstColumn="1" w:lastColumn="0" w:noHBand="0" w:noVBand="1"/>
      </w:tblPr>
      <w:tblGrid>
        <w:gridCol w:w="7993"/>
      </w:tblGrid>
      <w:tr w:rsidR="00580777" w:rsidRPr="006A14DD" w:rsidTr="004F25B9">
        <w:trPr>
          <w:trHeight w:val="147"/>
        </w:trPr>
        <w:tc>
          <w:tcPr>
            <w:tcW w:w="7568" w:type="dxa"/>
          </w:tcPr>
          <w:p w:rsidR="00580777" w:rsidRPr="006A14DD" w:rsidRDefault="00580777" w:rsidP="006A14DD">
            <w:pPr>
              <w:jc w:val="both"/>
              <w:rPr>
                <w:rFonts w:cstheme="minorHAnsi"/>
                <w:b/>
                <w:sz w:val="36"/>
                <w:szCs w:val="36"/>
              </w:rPr>
            </w:pPr>
            <w:r w:rsidRPr="006A14DD">
              <w:rPr>
                <w:rFonts w:cstheme="minorHAnsi"/>
                <w:b/>
                <w:sz w:val="36"/>
                <w:szCs w:val="36"/>
              </w:rPr>
              <w:t>AUGE DEL ORO EN BOLIVIA</w:t>
            </w:r>
          </w:p>
        </w:tc>
      </w:tr>
      <w:tr w:rsidR="00580777" w:rsidRPr="006A14DD" w:rsidTr="004F25B9">
        <w:trPr>
          <w:trHeight w:val="4654"/>
        </w:trPr>
        <w:tc>
          <w:tcPr>
            <w:tcW w:w="7568" w:type="dxa"/>
          </w:tcPr>
          <w:tbl>
            <w:tblPr>
              <w:tblStyle w:val="Tablaconcuadrcula"/>
              <w:tblW w:w="0" w:type="auto"/>
              <w:tblLook w:val="04A0" w:firstRow="1" w:lastRow="0" w:firstColumn="1" w:lastColumn="0" w:noHBand="0" w:noVBand="1"/>
            </w:tblPr>
            <w:tblGrid>
              <w:gridCol w:w="946"/>
              <w:gridCol w:w="2183"/>
              <w:gridCol w:w="3165"/>
              <w:gridCol w:w="1473"/>
            </w:tblGrid>
            <w:tr w:rsidR="004F25B9" w:rsidRPr="006A14DD" w:rsidTr="004E274F">
              <w:trPr>
                <w:trHeight w:val="341"/>
              </w:trPr>
              <w:tc>
                <w:tcPr>
                  <w:tcW w:w="642" w:type="dxa"/>
                  <w:shd w:val="clear" w:color="auto" w:fill="C6D9F1" w:themeFill="text2" w:themeFillTint="33"/>
                </w:tcPr>
                <w:p w:rsidR="00580777" w:rsidRPr="006A14DD" w:rsidRDefault="00580777" w:rsidP="006A14DD">
                  <w:pPr>
                    <w:jc w:val="both"/>
                    <w:rPr>
                      <w:rFonts w:cstheme="minorHAnsi"/>
                      <w:sz w:val="36"/>
                      <w:szCs w:val="36"/>
                    </w:rPr>
                  </w:pPr>
                  <w:r w:rsidRPr="006A14DD">
                    <w:rPr>
                      <w:rFonts w:cstheme="minorHAnsi"/>
                      <w:sz w:val="36"/>
                      <w:szCs w:val="36"/>
                    </w:rPr>
                    <w:lastRenderedPageBreak/>
                    <w:t>Año</w:t>
                  </w:r>
                </w:p>
              </w:tc>
              <w:tc>
                <w:tcPr>
                  <w:tcW w:w="1748" w:type="dxa"/>
                  <w:shd w:val="clear" w:color="auto" w:fill="C6D9F1" w:themeFill="text2" w:themeFillTint="33"/>
                </w:tcPr>
                <w:p w:rsidR="00580777" w:rsidRPr="006A14DD" w:rsidRDefault="00580777" w:rsidP="006A14DD">
                  <w:pPr>
                    <w:jc w:val="both"/>
                    <w:rPr>
                      <w:rFonts w:cstheme="minorHAnsi"/>
                      <w:b/>
                      <w:sz w:val="36"/>
                      <w:szCs w:val="36"/>
                    </w:rPr>
                  </w:pPr>
                  <w:r w:rsidRPr="006A14DD">
                    <w:rPr>
                      <w:rFonts w:cstheme="minorHAnsi"/>
                      <w:b/>
                      <w:sz w:val="36"/>
                      <w:szCs w:val="36"/>
                    </w:rPr>
                    <w:t>Producción en toneladas (TMF)</w:t>
                  </w:r>
                </w:p>
              </w:tc>
              <w:tc>
                <w:tcPr>
                  <w:tcW w:w="1988" w:type="dxa"/>
                  <w:shd w:val="clear" w:color="auto" w:fill="C6D9F1" w:themeFill="text2" w:themeFillTint="33"/>
                </w:tcPr>
                <w:p w:rsidR="00580777" w:rsidRPr="006A14DD" w:rsidRDefault="00580777" w:rsidP="006A14DD">
                  <w:pPr>
                    <w:jc w:val="both"/>
                    <w:rPr>
                      <w:rFonts w:cstheme="minorHAnsi"/>
                      <w:b/>
                      <w:sz w:val="36"/>
                      <w:szCs w:val="36"/>
                    </w:rPr>
                  </w:pPr>
                  <w:r w:rsidRPr="006A14DD">
                    <w:rPr>
                      <w:rFonts w:cstheme="minorHAnsi"/>
                      <w:b/>
                      <w:sz w:val="36"/>
                      <w:szCs w:val="36"/>
                    </w:rPr>
                    <w:t>Valor producción en MM$us y precio promedio/tonelada</w:t>
                  </w:r>
                </w:p>
              </w:tc>
              <w:tc>
                <w:tcPr>
                  <w:tcW w:w="1719" w:type="dxa"/>
                  <w:shd w:val="clear" w:color="auto" w:fill="C6D9F1" w:themeFill="text2" w:themeFillTint="33"/>
                </w:tcPr>
                <w:p w:rsidR="00580777" w:rsidRPr="006A14DD" w:rsidRDefault="00580777" w:rsidP="006A14DD">
                  <w:pPr>
                    <w:jc w:val="both"/>
                    <w:rPr>
                      <w:rFonts w:cstheme="minorHAnsi"/>
                      <w:b/>
                      <w:sz w:val="36"/>
                      <w:szCs w:val="36"/>
                    </w:rPr>
                  </w:pPr>
                  <w:r w:rsidRPr="006A14DD">
                    <w:rPr>
                      <w:rFonts w:cstheme="minorHAnsi"/>
                      <w:b/>
                      <w:sz w:val="36"/>
                      <w:szCs w:val="36"/>
                    </w:rPr>
                    <w:t>Regalías en MM$us</w:t>
                  </w:r>
                </w:p>
              </w:tc>
            </w:tr>
            <w:tr w:rsidR="004F25B9" w:rsidRPr="006A14DD" w:rsidTr="004E274F">
              <w:trPr>
                <w:trHeight w:val="255"/>
              </w:trPr>
              <w:tc>
                <w:tcPr>
                  <w:tcW w:w="642" w:type="dxa"/>
                </w:tcPr>
                <w:p w:rsidR="00580777" w:rsidRPr="006A14DD" w:rsidRDefault="00580777" w:rsidP="006A14DD">
                  <w:pPr>
                    <w:jc w:val="both"/>
                    <w:rPr>
                      <w:rFonts w:cstheme="minorHAnsi"/>
                      <w:sz w:val="36"/>
                      <w:szCs w:val="36"/>
                    </w:rPr>
                  </w:pPr>
                  <w:r w:rsidRPr="006A14DD">
                    <w:rPr>
                      <w:rFonts w:cstheme="minorHAnsi"/>
                      <w:sz w:val="36"/>
                      <w:szCs w:val="36"/>
                    </w:rPr>
                    <w:t>2010</w:t>
                  </w:r>
                </w:p>
              </w:tc>
              <w:tc>
                <w:tcPr>
                  <w:tcW w:w="1748" w:type="dxa"/>
                </w:tcPr>
                <w:p w:rsidR="00580777" w:rsidRPr="006A14DD" w:rsidRDefault="00580777" w:rsidP="006A14DD">
                  <w:pPr>
                    <w:jc w:val="both"/>
                    <w:rPr>
                      <w:rFonts w:cstheme="minorHAnsi"/>
                      <w:sz w:val="36"/>
                      <w:szCs w:val="36"/>
                    </w:rPr>
                  </w:pPr>
                  <w:r w:rsidRPr="006A14DD">
                    <w:rPr>
                      <w:rFonts w:cstheme="minorHAnsi"/>
                      <w:sz w:val="36"/>
                      <w:szCs w:val="36"/>
                    </w:rPr>
                    <w:t>6.3</w:t>
                  </w:r>
                </w:p>
              </w:tc>
              <w:tc>
                <w:tcPr>
                  <w:tcW w:w="1988" w:type="dxa"/>
                </w:tcPr>
                <w:p w:rsidR="00580777" w:rsidRPr="006A14DD" w:rsidRDefault="00580777" w:rsidP="006A14DD">
                  <w:pPr>
                    <w:jc w:val="both"/>
                    <w:rPr>
                      <w:rFonts w:cstheme="minorHAnsi"/>
                      <w:sz w:val="36"/>
                      <w:szCs w:val="36"/>
                    </w:rPr>
                  </w:pPr>
                  <w:r w:rsidRPr="006A14DD">
                    <w:rPr>
                      <w:rFonts w:cstheme="minorHAnsi"/>
                      <w:sz w:val="36"/>
                      <w:szCs w:val="36"/>
                    </w:rPr>
                    <w:t xml:space="preserve">252 </w:t>
                  </w:r>
                </w:p>
                <w:p w:rsidR="00580777" w:rsidRPr="006A14DD" w:rsidRDefault="00580777" w:rsidP="006A14DD">
                  <w:pPr>
                    <w:jc w:val="both"/>
                    <w:rPr>
                      <w:rFonts w:cstheme="minorHAnsi"/>
                      <w:sz w:val="36"/>
                      <w:szCs w:val="36"/>
                    </w:rPr>
                  </w:pPr>
                  <w:r w:rsidRPr="006A14DD">
                    <w:rPr>
                      <w:rFonts w:cstheme="minorHAnsi"/>
                      <w:sz w:val="36"/>
                      <w:szCs w:val="36"/>
                    </w:rPr>
                    <w:t>Precio promedio: 40M$us/tonelada</w:t>
                  </w:r>
                </w:p>
              </w:tc>
              <w:tc>
                <w:tcPr>
                  <w:tcW w:w="1719" w:type="dxa"/>
                </w:tcPr>
                <w:p w:rsidR="00580777" w:rsidRPr="006A14DD" w:rsidRDefault="00580777" w:rsidP="006A14DD">
                  <w:pPr>
                    <w:jc w:val="both"/>
                    <w:rPr>
                      <w:rFonts w:cstheme="minorHAnsi"/>
                      <w:sz w:val="36"/>
                      <w:szCs w:val="36"/>
                    </w:rPr>
                  </w:pPr>
                </w:p>
              </w:tc>
            </w:tr>
            <w:tr w:rsidR="004F25B9" w:rsidRPr="006A14DD" w:rsidTr="004E274F">
              <w:trPr>
                <w:trHeight w:val="255"/>
              </w:trPr>
              <w:tc>
                <w:tcPr>
                  <w:tcW w:w="642"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2011</w:t>
                  </w:r>
                </w:p>
              </w:tc>
              <w:tc>
                <w:tcPr>
                  <w:tcW w:w="174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11</w:t>
                  </w:r>
                </w:p>
                <w:p w:rsidR="00580777" w:rsidRPr="006A14DD" w:rsidRDefault="00580777" w:rsidP="006A14DD">
                  <w:pPr>
                    <w:jc w:val="both"/>
                    <w:rPr>
                      <w:rFonts w:cstheme="minorHAnsi"/>
                      <w:sz w:val="36"/>
                      <w:szCs w:val="36"/>
                    </w:rPr>
                  </w:pPr>
                  <w:r w:rsidRPr="006A14DD">
                    <w:rPr>
                      <w:rFonts w:cstheme="minorHAnsi"/>
                      <w:sz w:val="36"/>
                      <w:szCs w:val="36"/>
                    </w:rPr>
                    <w:t xml:space="preserve"> (6.5 metálico + “otras formas”)</w:t>
                  </w:r>
                </w:p>
              </w:tc>
              <w:tc>
                <w:tcPr>
                  <w:tcW w:w="198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505 (e)</w:t>
                  </w:r>
                </w:p>
                <w:p w:rsidR="00580777" w:rsidRPr="006A14DD" w:rsidRDefault="00580777" w:rsidP="006A14DD">
                  <w:pPr>
                    <w:jc w:val="both"/>
                    <w:rPr>
                      <w:rFonts w:cstheme="minorHAnsi"/>
                      <w:sz w:val="36"/>
                      <w:szCs w:val="36"/>
                    </w:rPr>
                  </w:pPr>
                  <w:r w:rsidRPr="006A14DD">
                    <w:rPr>
                      <w:rFonts w:cstheme="minorHAnsi"/>
                      <w:sz w:val="36"/>
                      <w:szCs w:val="36"/>
                    </w:rPr>
                    <w:t xml:space="preserve">Precio: 45M$us/t </w:t>
                  </w:r>
                </w:p>
              </w:tc>
              <w:tc>
                <w:tcPr>
                  <w:tcW w:w="1719" w:type="dxa"/>
                  <w:shd w:val="clear" w:color="auto" w:fill="D9D9D9" w:themeFill="background1" w:themeFillShade="D9"/>
                </w:tcPr>
                <w:p w:rsidR="00580777" w:rsidRPr="006A14DD" w:rsidRDefault="00815828" w:rsidP="006A14DD">
                  <w:pPr>
                    <w:jc w:val="both"/>
                    <w:rPr>
                      <w:rFonts w:cstheme="minorHAnsi"/>
                      <w:sz w:val="36"/>
                      <w:szCs w:val="36"/>
                    </w:rPr>
                  </w:pPr>
                  <w:r w:rsidRPr="006A14DD">
                    <w:rPr>
                      <w:rFonts w:cstheme="minorHAnsi"/>
                      <w:sz w:val="36"/>
                      <w:szCs w:val="36"/>
                    </w:rPr>
                    <w:t>4 (e)**</w:t>
                  </w:r>
                </w:p>
              </w:tc>
            </w:tr>
            <w:tr w:rsidR="004F25B9" w:rsidRPr="006A14DD" w:rsidTr="004E274F">
              <w:trPr>
                <w:trHeight w:val="259"/>
              </w:trPr>
              <w:tc>
                <w:tcPr>
                  <w:tcW w:w="642"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2012</w:t>
                  </w:r>
                </w:p>
              </w:tc>
              <w:tc>
                <w:tcPr>
                  <w:tcW w:w="174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28</w:t>
                  </w:r>
                </w:p>
              </w:tc>
              <w:tc>
                <w:tcPr>
                  <w:tcW w:w="1988" w:type="dxa"/>
                  <w:shd w:val="clear" w:color="auto" w:fill="D9D9D9" w:themeFill="background1" w:themeFillShade="D9"/>
                </w:tcPr>
                <w:p w:rsidR="00580777" w:rsidRPr="006A14DD" w:rsidRDefault="00580777" w:rsidP="006A14DD">
                  <w:pPr>
                    <w:tabs>
                      <w:tab w:val="center" w:pos="1014"/>
                    </w:tabs>
                    <w:jc w:val="both"/>
                    <w:rPr>
                      <w:rFonts w:cstheme="minorHAnsi"/>
                      <w:sz w:val="36"/>
                      <w:szCs w:val="36"/>
                    </w:rPr>
                  </w:pPr>
                  <w:r w:rsidRPr="006A14DD">
                    <w:rPr>
                      <w:rFonts w:cstheme="minorHAnsi"/>
                      <w:sz w:val="36"/>
                      <w:szCs w:val="36"/>
                    </w:rPr>
                    <w:t>1.464</w:t>
                  </w:r>
                </w:p>
                <w:p w:rsidR="00580777" w:rsidRPr="006A14DD" w:rsidRDefault="00580777" w:rsidP="006A14DD">
                  <w:pPr>
                    <w:tabs>
                      <w:tab w:val="center" w:pos="1014"/>
                    </w:tabs>
                    <w:jc w:val="both"/>
                    <w:rPr>
                      <w:rFonts w:cstheme="minorHAnsi"/>
                      <w:sz w:val="36"/>
                      <w:szCs w:val="36"/>
                    </w:rPr>
                  </w:pPr>
                  <w:r w:rsidRPr="006A14DD">
                    <w:rPr>
                      <w:rFonts w:cstheme="minorHAnsi"/>
                      <w:sz w:val="36"/>
                      <w:szCs w:val="36"/>
                    </w:rPr>
                    <w:t>Precio:</w:t>
                  </w:r>
                </w:p>
                <w:p w:rsidR="00580777" w:rsidRPr="006A14DD" w:rsidRDefault="00580777" w:rsidP="006A14DD">
                  <w:pPr>
                    <w:tabs>
                      <w:tab w:val="center" w:pos="1014"/>
                    </w:tabs>
                    <w:jc w:val="both"/>
                    <w:rPr>
                      <w:rFonts w:cstheme="minorHAnsi"/>
                      <w:sz w:val="36"/>
                      <w:szCs w:val="36"/>
                    </w:rPr>
                  </w:pPr>
                  <w:r w:rsidRPr="006A14DD">
                    <w:rPr>
                      <w:rFonts w:cstheme="minorHAnsi"/>
                      <w:sz w:val="36"/>
                      <w:szCs w:val="36"/>
                    </w:rPr>
                    <w:t>52M$us/t</w:t>
                  </w:r>
                  <w:r w:rsidRPr="006A14DD">
                    <w:rPr>
                      <w:rFonts w:cstheme="minorHAnsi"/>
                      <w:sz w:val="36"/>
                      <w:szCs w:val="36"/>
                    </w:rPr>
                    <w:tab/>
                  </w:r>
                </w:p>
              </w:tc>
              <w:tc>
                <w:tcPr>
                  <w:tcW w:w="1719"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8</w:t>
                  </w:r>
                </w:p>
              </w:tc>
            </w:tr>
            <w:tr w:rsidR="004F25B9" w:rsidRPr="006A14DD" w:rsidTr="004E274F">
              <w:trPr>
                <w:trHeight w:val="170"/>
              </w:trPr>
              <w:tc>
                <w:tcPr>
                  <w:tcW w:w="642"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2013</w:t>
                  </w:r>
                </w:p>
              </w:tc>
              <w:tc>
                <w:tcPr>
                  <w:tcW w:w="174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18</w:t>
                  </w:r>
                </w:p>
              </w:tc>
              <w:tc>
                <w:tcPr>
                  <w:tcW w:w="198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811</w:t>
                  </w:r>
                </w:p>
                <w:p w:rsidR="00580777" w:rsidRPr="006A14DD" w:rsidRDefault="00580777" w:rsidP="006A14DD">
                  <w:pPr>
                    <w:jc w:val="both"/>
                    <w:rPr>
                      <w:rFonts w:cstheme="minorHAnsi"/>
                      <w:sz w:val="36"/>
                      <w:szCs w:val="36"/>
                    </w:rPr>
                  </w:pPr>
                  <w:r w:rsidRPr="006A14DD">
                    <w:rPr>
                      <w:rFonts w:cstheme="minorHAnsi"/>
                      <w:sz w:val="36"/>
                      <w:szCs w:val="36"/>
                    </w:rPr>
                    <w:t xml:space="preserve">Precio:45 MM /t </w:t>
                  </w:r>
                </w:p>
              </w:tc>
              <w:tc>
                <w:tcPr>
                  <w:tcW w:w="1719"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14</w:t>
                  </w:r>
                </w:p>
                <w:p w:rsidR="00580777" w:rsidRPr="006A14DD" w:rsidRDefault="00580777" w:rsidP="006A14DD">
                  <w:pPr>
                    <w:jc w:val="both"/>
                    <w:rPr>
                      <w:rFonts w:cstheme="minorHAnsi"/>
                      <w:sz w:val="36"/>
                      <w:szCs w:val="36"/>
                    </w:rPr>
                  </w:pPr>
                  <w:r w:rsidRPr="006A14DD">
                    <w:rPr>
                      <w:rFonts w:cstheme="minorHAnsi"/>
                      <w:sz w:val="36"/>
                      <w:szCs w:val="36"/>
                    </w:rPr>
                    <w:t>(16, según Proycc oficial)</w:t>
                  </w:r>
                </w:p>
              </w:tc>
            </w:tr>
            <w:tr w:rsidR="004F25B9" w:rsidRPr="006A14DD" w:rsidTr="004E274F">
              <w:trPr>
                <w:trHeight w:val="255"/>
              </w:trPr>
              <w:tc>
                <w:tcPr>
                  <w:tcW w:w="642"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2014</w:t>
                  </w:r>
                </w:p>
              </w:tc>
              <w:tc>
                <w:tcPr>
                  <w:tcW w:w="174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34 *</w:t>
                  </w:r>
                </w:p>
                <w:p w:rsidR="00580777" w:rsidRPr="006A14DD" w:rsidRDefault="00580777" w:rsidP="006A14DD">
                  <w:pPr>
                    <w:jc w:val="both"/>
                    <w:rPr>
                      <w:rFonts w:cstheme="minorHAnsi"/>
                      <w:sz w:val="36"/>
                      <w:szCs w:val="36"/>
                    </w:rPr>
                  </w:pPr>
                  <w:r w:rsidRPr="006A14DD">
                    <w:rPr>
                      <w:rFonts w:cstheme="minorHAnsi"/>
                      <w:sz w:val="36"/>
                      <w:szCs w:val="36"/>
                    </w:rPr>
                    <w:t>(9.5  t al 1er Trimestre)</w:t>
                  </w:r>
                </w:p>
                <w:p w:rsidR="00580777" w:rsidRPr="006A14DD" w:rsidRDefault="00580777" w:rsidP="006A14DD">
                  <w:pPr>
                    <w:jc w:val="both"/>
                    <w:rPr>
                      <w:rFonts w:cstheme="minorHAnsi"/>
                      <w:sz w:val="36"/>
                      <w:szCs w:val="36"/>
                    </w:rPr>
                  </w:pPr>
                </w:p>
              </w:tc>
              <w:tc>
                <w:tcPr>
                  <w:tcW w:w="1988"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1.397*</w:t>
                  </w:r>
                </w:p>
                <w:p w:rsidR="00580777" w:rsidRPr="006A14DD" w:rsidRDefault="00580777" w:rsidP="006A14DD">
                  <w:pPr>
                    <w:jc w:val="both"/>
                    <w:rPr>
                      <w:rFonts w:cstheme="minorHAnsi"/>
                      <w:sz w:val="36"/>
                      <w:szCs w:val="36"/>
                    </w:rPr>
                  </w:pPr>
                  <w:r w:rsidRPr="006A14DD">
                    <w:rPr>
                      <w:rFonts w:cstheme="minorHAnsi"/>
                      <w:sz w:val="36"/>
                      <w:szCs w:val="36"/>
                    </w:rPr>
                    <w:t>Precio:41MM/t</w:t>
                  </w:r>
                </w:p>
                <w:p w:rsidR="00580777" w:rsidRPr="006A14DD" w:rsidRDefault="00580777" w:rsidP="006A14DD">
                  <w:pPr>
                    <w:jc w:val="both"/>
                    <w:rPr>
                      <w:rFonts w:cstheme="minorHAnsi"/>
                      <w:sz w:val="36"/>
                      <w:szCs w:val="36"/>
                    </w:rPr>
                  </w:pPr>
                </w:p>
              </w:tc>
              <w:tc>
                <w:tcPr>
                  <w:tcW w:w="1719" w:type="dxa"/>
                  <w:shd w:val="clear" w:color="auto" w:fill="D9D9D9" w:themeFill="background1" w:themeFillShade="D9"/>
                </w:tcPr>
                <w:p w:rsidR="00580777" w:rsidRPr="006A14DD" w:rsidRDefault="00580777" w:rsidP="006A14DD">
                  <w:pPr>
                    <w:jc w:val="both"/>
                    <w:rPr>
                      <w:rFonts w:cstheme="minorHAnsi"/>
                      <w:sz w:val="36"/>
                      <w:szCs w:val="36"/>
                    </w:rPr>
                  </w:pPr>
                  <w:r w:rsidRPr="006A14DD">
                    <w:rPr>
                      <w:rFonts w:cstheme="minorHAnsi"/>
                      <w:sz w:val="36"/>
                      <w:szCs w:val="36"/>
                    </w:rPr>
                    <w:t>20 M$us (a Nov. Según Gob. Cocarico</w:t>
                  </w:r>
                </w:p>
              </w:tc>
            </w:tr>
            <w:tr w:rsidR="004F25B9" w:rsidRPr="006A14DD" w:rsidTr="004E274F">
              <w:trPr>
                <w:trHeight w:val="595"/>
              </w:trPr>
              <w:tc>
                <w:tcPr>
                  <w:tcW w:w="642" w:type="dxa"/>
                </w:tcPr>
                <w:p w:rsidR="00580777" w:rsidRPr="006A14DD" w:rsidRDefault="00580777" w:rsidP="006A14DD">
                  <w:pPr>
                    <w:jc w:val="both"/>
                    <w:rPr>
                      <w:rFonts w:cstheme="minorHAnsi"/>
                      <w:sz w:val="36"/>
                      <w:szCs w:val="36"/>
                    </w:rPr>
                  </w:pPr>
                  <w:r w:rsidRPr="006A14DD">
                    <w:rPr>
                      <w:rFonts w:cstheme="minorHAnsi"/>
                      <w:sz w:val="36"/>
                      <w:szCs w:val="36"/>
                    </w:rPr>
                    <w:t>2015</w:t>
                  </w:r>
                </w:p>
              </w:tc>
              <w:tc>
                <w:tcPr>
                  <w:tcW w:w="1748" w:type="dxa"/>
                </w:tcPr>
                <w:p w:rsidR="00580777" w:rsidRPr="006A14DD" w:rsidRDefault="00580777" w:rsidP="006A14DD">
                  <w:pPr>
                    <w:jc w:val="both"/>
                    <w:rPr>
                      <w:rFonts w:cstheme="minorHAnsi"/>
                      <w:sz w:val="36"/>
                      <w:szCs w:val="36"/>
                    </w:rPr>
                  </w:pPr>
                  <w:r w:rsidRPr="006A14DD">
                    <w:rPr>
                      <w:rFonts w:cstheme="minorHAnsi"/>
                      <w:sz w:val="36"/>
                      <w:szCs w:val="36"/>
                    </w:rPr>
                    <w:t xml:space="preserve">4.7  (al 1er Trimestre, Senarecom: oro </w:t>
                  </w:r>
                  <w:r w:rsidRPr="006A14DD">
                    <w:rPr>
                      <w:rFonts w:cstheme="minorHAnsi"/>
                      <w:sz w:val="36"/>
                      <w:szCs w:val="36"/>
                    </w:rPr>
                    <w:lastRenderedPageBreak/>
                    <w:t>marginal+oro metálico+oro en joyas, en La Razón 21 abril 2015.-Proyección anual: 19 t)</w:t>
                  </w:r>
                </w:p>
                <w:p w:rsidR="00580777" w:rsidRPr="006A14DD" w:rsidRDefault="00580777" w:rsidP="006A14DD">
                  <w:pPr>
                    <w:jc w:val="both"/>
                    <w:rPr>
                      <w:rFonts w:cstheme="minorHAnsi"/>
                      <w:sz w:val="36"/>
                      <w:szCs w:val="36"/>
                    </w:rPr>
                  </w:pPr>
                </w:p>
              </w:tc>
              <w:tc>
                <w:tcPr>
                  <w:tcW w:w="1988" w:type="dxa"/>
                </w:tcPr>
                <w:p w:rsidR="00580777" w:rsidRPr="006A14DD" w:rsidRDefault="00580777" w:rsidP="006A14DD">
                  <w:pPr>
                    <w:jc w:val="both"/>
                    <w:rPr>
                      <w:rFonts w:cstheme="minorHAnsi"/>
                      <w:sz w:val="36"/>
                      <w:szCs w:val="36"/>
                    </w:rPr>
                  </w:pPr>
                  <w:r w:rsidRPr="006A14DD">
                    <w:rPr>
                      <w:rFonts w:cstheme="minorHAnsi"/>
                      <w:sz w:val="36"/>
                      <w:szCs w:val="36"/>
                    </w:rPr>
                    <w:lastRenderedPageBreak/>
                    <w:t>196 (primer trimestre)</w:t>
                  </w:r>
                </w:p>
                <w:p w:rsidR="00580777" w:rsidRPr="006A14DD" w:rsidRDefault="00580777" w:rsidP="006A14DD">
                  <w:pPr>
                    <w:jc w:val="both"/>
                    <w:rPr>
                      <w:rFonts w:cstheme="minorHAnsi"/>
                      <w:sz w:val="36"/>
                      <w:szCs w:val="36"/>
                    </w:rPr>
                  </w:pPr>
                  <w:r w:rsidRPr="006A14DD">
                    <w:rPr>
                      <w:rFonts w:cstheme="minorHAnsi"/>
                      <w:sz w:val="36"/>
                      <w:szCs w:val="36"/>
                    </w:rPr>
                    <w:t>Proyección anual 784</w:t>
                  </w:r>
                </w:p>
                <w:p w:rsidR="00580777" w:rsidRPr="006A14DD" w:rsidRDefault="00580777" w:rsidP="006A14DD">
                  <w:pPr>
                    <w:jc w:val="both"/>
                    <w:rPr>
                      <w:rFonts w:cstheme="minorHAnsi"/>
                      <w:sz w:val="36"/>
                      <w:szCs w:val="36"/>
                    </w:rPr>
                  </w:pPr>
                  <w:r w:rsidRPr="006A14DD">
                    <w:rPr>
                      <w:rFonts w:cstheme="minorHAnsi"/>
                      <w:sz w:val="36"/>
                      <w:szCs w:val="36"/>
                    </w:rPr>
                    <w:lastRenderedPageBreak/>
                    <w:t>Precio:41M$us /t</w:t>
                  </w:r>
                </w:p>
              </w:tc>
              <w:tc>
                <w:tcPr>
                  <w:tcW w:w="1719" w:type="dxa"/>
                </w:tcPr>
                <w:p w:rsidR="00580777" w:rsidRPr="006A14DD" w:rsidRDefault="00580777" w:rsidP="006A14DD">
                  <w:pPr>
                    <w:jc w:val="both"/>
                    <w:rPr>
                      <w:rFonts w:cstheme="minorHAnsi"/>
                      <w:sz w:val="36"/>
                      <w:szCs w:val="36"/>
                    </w:rPr>
                  </w:pPr>
                </w:p>
              </w:tc>
            </w:tr>
            <w:tr w:rsidR="004F25B9" w:rsidRPr="006A14DD" w:rsidTr="004E274F">
              <w:trPr>
                <w:trHeight w:val="88"/>
              </w:trPr>
              <w:tc>
                <w:tcPr>
                  <w:tcW w:w="642" w:type="dxa"/>
                </w:tcPr>
                <w:p w:rsidR="00580777" w:rsidRPr="006A14DD" w:rsidRDefault="00580777" w:rsidP="006A14DD">
                  <w:pPr>
                    <w:jc w:val="both"/>
                    <w:rPr>
                      <w:rFonts w:cstheme="minorHAnsi"/>
                      <w:sz w:val="36"/>
                      <w:szCs w:val="36"/>
                    </w:rPr>
                  </w:pPr>
                </w:p>
              </w:tc>
              <w:tc>
                <w:tcPr>
                  <w:tcW w:w="1748" w:type="dxa"/>
                </w:tcPr>
                <w:p w:rsidR="00580777" w:rsidRPr="006A14DD" w:rsidRDefault="00580777" w:rsidP="006A14DD">
                  <w:pPr>
                    <w:jc w:val="both"/>
                    <w:rPr>
                      <w:rFonts w:cstheme="minorHAnsi"/>
                      <w:sz w:val="36"/>
                      <w:szCs w:val="36"/>
                    </w:rPr>
                  </w:pPr>
                  <w:r w:rsidRPr="006A14DD">
                    <w:rPr>
                      <w:rFonts w:cstheme="minorHAnsi"/>
                      <w:sz w:val="36"/>
                      <w:szCs w:val="36"/>
                    </w:rPr>
                    <w:t>114 ton</w:t>
                  </w:r>
                </w:p>
              </w:tc>
              <w:tc>
                <w:tcPr>
                  <w:tcW w:w="1988" w:type="dxa"/>
                </w:tcPr>
                <w:p w:rsidR="00580777" w:rsidRPr="006A14DD" w:rsidRDefault="00580777" w:rsidP="006A14DD">
                  <w:pPr>
                    <w:jc w:val="both"/>
                    <w:rPr>
                      <w:rFonts w:cstheme="minorHAnsi"/>
                      <w:sz w:val="36"/>
                      <w:szCs w:val="36"/>
                    </w:rPr>
                  </w:pPr>
                  <w:r w:rsidRPr="006A14DD">
                    <w:rPr>
                      <w:rFonts w:cstheme="minorHAnsi"/>
                      <w:sz w:val="36"/>
                      <w:szCs w:val="36"/>
                    </w:rPr>
                    <w:t>5.213</w:t>
                  </w:r>
                </w:p>
              </w:tc>
              <w:tc>
                <w:tcPr>
                  <w:tcW w:w="1719" w:type="dxa"/>
                </w:tcPr>
                <w:p w:rsidR="00580777" w:rsidRPr="006A14DD" w:rsidRDefault="00580777" w:rsidP="006A14DD">
                  <w:pPr>
                    <w:jc w:val="both"/>
                    <w:rPr>
                      <w:rFonts w:cstheme="minorHAnsi"/>
                      <w:sz w:val="36"/>
                      <w:szCs w:val="36"/>
                    </w:rPr>
                  </w:pPr>
                </w:p>
              </w:tc>
            </w:tr>
            <w:tr w:rsidR="00580777" w:rsidRPr="006A14DD" w:rsidTr="004E274F">
              <w:trPr>
                <w:trHeight w:val="255"/>
              </w:trPr>
              <w:tc>
                <w:tcPr>
                  <w:tcW w:w="6097" w:type="dxa"/>
                  <w:gridSpan w:val="4"/>
                </w:tcPr>
                <w:p w:rsidR="00580777" w:rsidRPr="006A14DD" w:rsidRDefault="00580777" w:rsidP="006A14DD">
                  <w:pPr>
                    <w:jc w:val="both"/>
                    <w:rPr>
                      <w:rFonts w:cstheme="minorHAnsi"/>
                      <w:sz w:val="36"/>
                      <w:szCs w:val="36"/>
                    </w:rPr>
                  </w:pPr>
                  <w:r w:rsidRPr="006A14DD">
                    <w:rPr>
                      <w:rFonts w:cstheme="minorHAnsi"/>
                      <w:sz w:val="36"/>
                      <w:szCs w:val="36"/>
                    </w:rPr>
                    <w:t>Fuente: Elaboración propia con  base en cifras oficiales, * Senarecom/</w:t>
                  </w:r>
                  <w:r w:rsidR="00815828" w:rsidRPr="006A14DD">
                    <w:rPr>
                      <w:rFonts w:cstheme="minorHAnsi"/>
                      <w:sz w:val="36"/>
                      <w:szCs w:val="36"/>
                    </w:rPr>
                    <w:t>Rendición</w:t>
                  </w:r>
                  <w:r w:rsidRPr="006A14DD">
                    <w:rPr>
                      <w:rFonts w:cstheme="minorHAnsi"/>
                      <w:sz w:val="36"/>
                      <w:szCs w:val="36"/>
                    </w:rPr>
                    <w:t xml:space="preserve"> de Cuentas  2014 e Informe Preliminar abril 2015, CEDLA 2014 y Héctor Córdova 2015</w:t>
                  </w:r>
                  <w:r w:rsidR="00815828" w:rsidRPr="006A14DD">
                    <w:rPr>
                      <w:rFonts w:cstheme="minorHAnsi"/>
                      <w:sz w:val="36"/>
                      <w:szCs w:val="36"/>
                    </w:rPr>
                    <w:t xml:space="preserve"> **Estimado</w:t>
                  </w:r>
                </w:p>
              </w:tc>
            </w:tr>
          </w:tbl>
          <w:p w:rsidR="00580777" w:rsidRPr="006A14DD" w:rsidRDefault="00580777" w:rsidP="006A14DD">
            <w:pPr>
              <w:jc w:val="both"/>
              <w:rPr>
                <w:rFonts w:cstheme="minorHAnsi"/>
                <w:strike/>
                <w:sz w:val="36"/>
                <w:szCs w:val="36"/>
              </w:rPr>
            </w:pPr>
          </w:p>
        </w:tc>
      </w:tr>
    </w:tbl>
    <w:p w:rsidR="00580777" w:rsidRPr="006A14DD" w:rsidRDefault="00580777" w:rsidP="006A14DD">
      <w:pPr>
        <w:jc w:val="both"/>
        <w:rPr>
          <w:rFonts w:cstheme="minorHAnsi"/>
          <w:strike/>
          <w:sz w:val="36"/>
          <w:szCs w:val="36"/>
        </w:rPr>
      </w:pPr>
    </w:p>
    <w:p w:rsidR="003749D0" w:rsidRPr="006A14DD" w:rsidRDefault="003749D0" w:rsidP="006A14DD">
      <w:pPr>
        <w:jc w:val="both"/>
        <w:rPr>
          <w:rFonts w:cstheme="minorHAnsi"/>
          <w:strike/>
          <w:sz w:val="36"/>
          <w:szCs w:val="36"/>
        </w:rPr>
      </w:pPr>
    </w:p>
    <w:tbl>
      <w:tblPr>
        <w:tblStyle w:val="Tablaconcuadrcula"/>
        <w:tblW w:w="0" w:type="auto"/>
        <w:tblLook w:val="04A0" w:firstRow="1" w:lastRow="0" w:firstColumn="1" w:lastColumn="0" w:noHBand="0" w:noVBand="1"/>
      </w:tblPr>
      <w:tblGrid>
        <w:gridCol w:w="9054"/>
      </w:tblGrid>
      <w:tr w:rsidR="003749D0" w:rsidRPr="006A14DD" w:rsidTr="003749D0">
        <w:tc>
          <w:tcPr>
            <w:tcW w:w="8978" w:type="dxa"/>
          </w:tcPr>
          <w:p w:rsidR="003749D0" w:rsidRPr="006A14DD" w:rsidRDefault="003749D0" w:rsidP="006A14DD">
            <w:pPr>
              <w:jc w:val="both"/>
              <w:rPr>
                <w:rFonts w:cstheme="minorHAnsi"/>
                <w:strike/>
                <w:sz w:val="36"/>
                <w:szCs w:val="36"/>
              </w:rPr>
            </w:pPr>
            <w:r w:rsidRPr="006A14DD">
              <w:rPr>
                <w:rFonts w:cstheme="minorHAnsi"/>
                <w:noProof/>
                <w:sz w:val="36"/>
                <w:szCs w:val="36"/>
                <w:lang w:val="es-CO" w:eastAsia="es-CO"/>
              </w:rPr>
              <w:lastRenderedPageBreak/>
              <w:drawing>
                <wp:inline distT="0" distB="0" distL="0" distR="0" wp14:anchorId="365C91DC" wp14:editId="185483DC">
                  <wp:extent cx="5612130" cy="4209098"/>
                  <wp:effectExtent l="0" t="0" r="7620" b="1270"/>
                  <wp:docPr id="2" name="Imagen 2" descr="Rendición de cuentas 2014 de Senar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ndición de cuentas 2014 de Senareco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2130" cy="4209098"/>
                          </a:xfrm>
                          <a:prstGeom prst="rect">
                            <a:avLst/>
                          </a:prstGeom>
                          <a:noFill/>
                          <a:ln>
                            <a:noFill/>
                          </a:ln>
                        </pic:spPr>
                      </pic:pic>
                    </a:graphicData>
                  </a:graphic>
                </wp:inline>
              </w:drawing>
            </w:r>
          </w:p>
        </w:tc>
      </w:tr>
      <w:tr w:rsidR="003749D0" w:rsidRPr="006A14DD" w:rsidTr="003749D0">
        <w:tc>
          <w:tcPr>
            <w:tcW w:w="8978" w:type="dxa"/>
          </w:tcPr>
          <w:p w:rsidR="003749D0" w:rsidRPr="006A14DD" w:rsidRDefault="003749D0" w:rsidP="006A14DD">
            <w:pPr>
              <w:jc w:val="both"/>
              <w:rPr>
                <w:rFonts w:cstheme="minorHAnsi"/>
                <w:strike/>
                <w:sz w:val="36"/>
                <w:szCs w:val="36"/>
              </w:rPr>
            </w:pPr>
            <w:r w:rsidRPr="006A14DD">
              <w:rPr>
                <w:rFonts w:cstheme="minorHAnsi"/>
                <w:strike/>
                <w:sz w:val="36"/>
                <w:szCs w:val="36"/>
              </w:rPr>
              <w:t>http://es.slideshare.net/benavifer/rendicin-de-cuentas-2014-de-senarecom</w:t>
            </w:r>
          </w:p>
        </w:tc>
      </w:tr>
    </w:tbl>
    <w:p w:rsidR="003749D0" w:rsidRPr="006A14DD" w:rsidRDefault="003749D0" w:rsidP="006A14DD">
      <w:pPr>
        <w:jc w:val="both"/>
        <w:rPr>
          <w:rFonts w:cstheme="minorHAnsi"/>
          <w:strike/>
          <w:sz w:val="36"/>
          <w:szCs w:val="36"/>
        </w:rPr>
      </w:pPr>
    </w:p>
    <w:p w:rsidR="00F04D31" w:rsidRPr="006A14DD" w:rsidRDefault="00F04D31" w:rsidP="006A14DD">
      <w:pPr>
        <w:jc w:val="both"/>
        <w:rPr>
          <w:rFonts w:cstheme="minorHAnsi"/>
          <w:sz w:val="36"/>
          <w:szCs w:val="36"/>
        </w:rPr>
      </w:pPr>
    </w:p>
    <w:p w:rsidR="00242A35" w:rsidRPr="006A14DD" w:rsidRDefault="00242A35" w:rsidP="006A14DD">
      <w:pPr>
        <w:jc w:val="both"/>
        <w:rPr>
          <w:rFonts w:cstheme="minorHAnsi"/>
          <w:sz w:val="36"/>
          <w:szCs w:val="36"/>
        </w:rPr>
      </w:pPr>
    </w:p>
    <w:p w:rsidR="00242A35" w:rsidRPr="006A14DD" w:rsidRDefault="00242A35" w:rsidP="006A14DD">
      <w:pPr>
        <w:jc w:val="both"/>
        <w:rPr>
          <w:rFonts w:cstheme="minorHAnsi"/>
          <w:sz w:val="36"/>
          <w:szCs w:val="36"/>
        </w:rPr>
      </w:pPr>
    </w:p>
    <w:sectPr w:rsidR="00242A35" w:rsidRPr="006A14DD" w:rsidSect="00AD2C4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ITC Garamond Std Lt">
    <w:panose1 w:val="00000000000000000000"/>
    <w:charset w:val="00"/>
    <w:family w:val="roman"/>
    <w:notTrueType/>
    <w:pitch w:val="variable"/>
    <w:sig w:usb0="800000AF" w:usb1="4000204A" w:usb2="00000000" w:usb3="00000000" w:csb0="00000001" w:csb1="00000000"/>
  </w:font>
  <w:font w:name="ITC Garamond Std Book">
    <w:panose1 w:val="00000000000000000000"/>
    <w:charset w:val="00"/>
    <w:family w:val="roman"/>
    <w:notTrueType/>
    <w:pitch w:val="variable"/>
    <w:sig w:usb0="800000AF" w:usb1="4000204A" w:usb2="00000000" w:usb3="00000000" w:csb0="00000001" w:csb1="00000000"/>
  </w:font>
  <w:font w:name="Tahoma">
    <w:panose1 w:val="020B0604030504040204"/>
    <w:charset w:val="00"/>
    <w:family w:val="swiss"/>
    <w:pitch w:val="variable"/>
    <w:sig w:usb0="61002A87" w:usb1="80000000"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4F9"/>
    <w:rsid w:val="00046A02"/>
    <w:rsid w:val="000841DE"/>
    <w:rsid w:val="00090BAF"/>
    <w:rsid w:val="000A7A94"/>
    <w:rsid w:val="000C051C"/>
    <w:rsid w:val="000C1D21"/>
    <w:rsid w:val="000C59C4"/>
    <w:rsid w:val="000D25C5"/>
    <w:rsid w:val="000E1107"/>
    <w:rsid w:val="00127EA2"/>
    <w:rsid w:val="00136447"/>
    <w:rsid w:val="0016182E"/>
    <w:rsid w:val="0019308E"/>
    <w:rsid w:val="00242A35"/>
    <w:rsid w:val="00365872"/>
    <w:rsid w:val="00367572"/>
    <w:rsid w:val="003749D0"/>
    <w:rsid w:val="00391C2D"/>
    <w:rsid w:val="003D7244"/>
    <w:rsid w:val="003F5D64"/>
    <w:rsid w:val="004131A9"/>
    <w:rsid w:val="004134B6"/>
    <w:rsid w:val="00432AE0"/>
    <w:rsid w:val="004653CA"/>
    <w:rsid w:val="004D3142"/>
    <w:rsid w:val="004E2488"/>
    <w:rsid w:val="004E274F"/>
    <w:rsid w:val="004F25B9"/>
    <w:rsid w:val="00520AEA"/>
    <w:rsid w:val="00526B39"/>
    <w:rsid w:val="00543135"/>
    <w:rsid w:val="005614A6"/>
    <w:rsid w:val="00580777"/>
    <w:rsid w:val="005A6DF1"/>
    <w:rsid w:val="005C1CD7"/>
    <w:rsid w:val="005D78D2"/>
    <w:rsid w:val="00635157"/>
    <w:rsid w:val="006574F9"/>
    <w:rsid w:val="006A14DD"/>
    <w:rsid w:val="006D07C8"/>
    <w:rsid w:val="0075620B"/>
    <w:rsid w:val="007A36C0"/>
    <w:rsid w:val="007B39E3"/>
    <w:rsid w:val="00807C3A"/>
    <w:rsid w:val="00815828"/>
    <w:rsid w:val="00852948"/>
    <w:rsid w:val="008555AD"/>
    <w:rsid w:val="008C1BC7"/>
    <w:rsid w:val="008C2611"/>
    <w:rsid w:val="00970A53"/>
    <w:rsid w:val="00972BB8"/>
    <w:rsid w:val="00975591"/>
    <w:rsid w:val="00977860"/>
    <w:rsid w:val="00A04DB5"/>
    <w:rsid w:val="00A62792"/>
    <w:rsid w:val="00A81D43"/>
    <w:rsid w:val="00AD2C47"/>
    <w:rsid w:val="00B13C48"/>
    <w:rsid w:val="00B85A76"/>
    <w:rsid w:val="00B93936"/>
    <w:rsid w:val="00BC57EB"/>
    <w:rsid w:val="00BD2016"/>
    <w:rsid w:val="00BE2B05"/>
    <w:rsid w:val="00BE74EF"/>
    <w:rsid w:val="00C404D9"/>
    <w:rsid w:val="00C45C69"/>
    <w:rsid w:val="00C61137"/>
    <w:rsid w:val="00C80353"/>
    <w:rsid w:val="00CA55E5"/>
    <w:rsid w:val="00CF56FB"/>
    <w:rsid w:val="00D30474"/>
    <w:rsid w:val="00D655C6"/>
    <w:rsid w:val="00D77B79"/>
    <w:rsid w:val="00D97C64"/>
    <w:rsid w:val="00E60262"/>
    <w:rsid w:val="00EA07D6"/>
    <w:rsid w:val="00F04D31"/>
    <w:rsid w:val="00F54A14"/>
    <w:rsid w:val="00F952AD"/>
    <w:rsid w:val="00FA7ED2"/>
    <w:rsid w:val="00FB159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74F9"/>
    <w:pPr>
      <w:autoSpaceDE w:val="0"/>
      <w:autoSpaceDN w:val="0"/>
      <w:adjustRightInd w:val="0"/>
      <w:spacing w:after="0" w:line="240" w:lineRule="auto"/>
    </w:pPr>
    <w:rPr>
      <w:rFonts w:ascii="ITC Garamond Std Lt" w:hAnsi="ITC Garamond Std Lt" w:cs="ITC Garamond Std Lt"/>
      <w:color w:val="000000"/>
      <w:sz w:val="24"/>
      <w:szCs w:val="24"/>
    </w:rPr>
  </w:style>
  <w:style w:type="paragraph" w:customStyle="1" w:styleId="Pa8">
    <w:name w:val="Pa8"/>
    <w:basedOn w:val="Default"/>
    <w:next w:val="Default"/>
    <w:uiPriority w:val="99"/>
    <w:rsid w:val="006574F9"/>
    <w:pPr>
      <w:spacing w:line="221" w:lineRule="atLeast"/>
    </w:pPr>
    <w:rPr>
      <w:rFonts w:cstheme="minorBidi"/>
      <w:color w:val="auto"/>
    </w:rPr>
  </w:style>
  <w:style w:type="character" w:customStyle="1" w:styleId="A12">
    <w:name w:val="A12"/>
    <w:uiPriority w:val="99"/>
    <w:rsid w:val="006574F9"/>
    <w:rPr>
      <w:rFonts w:cs="ITC Garamond Std Lt"/>
      <w:color w:val="000000"/>
      <w:sz w:val="12"/>
      <w:szCs w:val="12"/>
    </w:rPr>
  </w:style>
  <w:style w:type="paragraph" w:customStyle="1" w:styleId="Pa11">
    <w:name w:val="Pa11"/>
    <w:basedOn w:val="Default"/>
    <w:next w:val="Default"/>
    <w:uiPriority w:val="99"/>
    <w:rsid w:val="000C051C"/>
    <w:pPr>
      <w:spacing w:line="241" w:lineRule="atLeast"/>
    </w:pPr>
    <w:rPr>
      <w:rFonts w:ascii="ITC Garamond Std Book" w:hAnsi="ITC Garamond Std Book" w:cstheme="minorBidi"/>
      <w:color w:val="auto"/>
    </w:rPr>
  </w:style>
  <w:style w:type="paragraph" w:styleId="Textodeglobo">
    <w:name w:val="Balloon Text"/>
    <w:basedOn w:val="Normal"/>
    <w:link w:val="TextodegloboCar"/>
    <w:uiPriority w:val="99"/>
    <w:semiHidden/>
    <w:unhideWhenUsed/>
    <w:rsid w:val="00F95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2AD"/>
    <w:rPr>
      <w:rFonts w:ascii="Tahoma" w:hAnsi="Tahoma" w:cs="Tahoma"/>
      <w:sz w:val="16"/>
      <w:szCs w:val="16"/>
    </w:rPr>
  </w:style>
  <w:style w:type="table" w:styleId="Tablaconcuadrcula">
    <w:name w:val="Table Grid"/>
    <w:basedOn w:val="Tablanormal"/>
    <w:uiPriority w:val="59"/>
    <w:rsid w:val="00972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BO" w:eastAsia="es-B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6574F9"/>
    <w:pPr>
      <w:autoSpaceDE w:val="0"/>
      <w:autoSpaceDN w:val="0"/>
      <w:adjustRightInd w:val="0"/>
      <w:spacing w:after="0" w:line="240" w:lineRule="auto"/>
    </w:pPr>
    <w:rPr>
      <w:rFonts w:ascii="ITC Garamond Std Lt" w:hAnsi="ITC Garamond Std Lt" w:cs="ITC Garamond Std Lt"/>
      <w:color w:val="000000"/>
      <w:sz w:val="24"/>
      <w:szCs w:val="24"/>
    </w:rPr>
  </w:style>
  <w:style w:type="paragraph" w:customStyle="1" w:styleId="Pa8">
    <w:name w:val="Pa8"/>
    <w:basedOn w:val="Default"/>
    <w:next w:val="Default"/>
    <w:uiPriority w:val="99"/>
    <w:rsid w:val="006574F9"/>
    <w:pPr>
      <w:spacing w:line="221" w:lineRule="atLeast"/>
    </w:pPr>
    <w:rPr>
      <w:rFonts w:cstheme="minorBidi"/>
      <w:color w:val="auto"/>
    </w:rPr>
  </w:style>
  <w:style w:type="character" w:customStyle="1" w:styleId="A12">
    <w:name w:val="A12"/>
    <w:uiPriority w:val="99"/>
    <w:rsid w:val="006574F9"/>
    <w:rPr>
      <w:rFonts w:cs="ITC Garamond Std Lt"/>
      <w:color w:val="000000"/>
      <w:sz w:val="12"/>
      <w:szCs w:val="12"/>
    </w:rPr>
  </w:style>
  <w:style w:type="paragraph" w:customStyle="1" w:styleId="Pa11">
    <w:name w:val="Pa11"/>
    <w:basedOn w:val="Default"/>
    <w:next w:val="Default"/>
    <w:uiPriority w:val="99"/>
    <w:rsid w:val="000C051C"/>
    <w:pPr>
      <w:spacing w:line="241" w:lineRule="atLeast"/>
    </w:pPr>
    <w:rPr>
      <w:rFonts w:ascii="ITC Garamond Std Book" w:hAnsi="ITC Garamond Std Book" w:cstheme="minorBidi"/>
      <w:color w:val="auto"/>
    </w:rPr>
  </w:style>
  <w:style w:type="paragraph" w:styleId="Textodeglobo">
    <w:name w:val="Balloon Text"/>
    <w:basedOn w:val="Normal"/>
    <w:link w:val="TextodegloboCar"/>
    <w:uiPriority w:val="99"/>
    <w:semiHidden/>
    <w:unhideWhenUsed/>
    <w:rsid w:val="00F952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2AD"/>
    <w:rPr>
      <w:rFonts w:ascii="Tahoma" w:hAnsi="Tahoma" w:cs="Tahoma"/>
      <w:sz w:val="16"/>
      <w:szCs w:val="16"/>
    </w:rPr>
  </w:style>
  <w:style w:type="table" w:styleId="Tablaconcuadrcula">
    <w:name w:val="Table Grid"/>
    <w:basedOn w:val="Tablanormal"/>
    <w:uiPriority w:val="59"/>
    <w:rsid w:val="00972B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43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B1C413-6888-405B-BE22-A9907F26D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1557</Words>
  <Characters>8565</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PRIVADA</Company>
  <LinksUpToDate>false</LinksUpToDate>
  <CharactersWithSpaces>10102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Chipaya</dc:creator>
  <cp:keywords/>
  <dc:description/>
  <cp:lastModifiedBy>Luffi</cp:lastModifiedBy>
  <cp:revision>2</cp:revision>
  <dcterms:created xsi:type="dcterms:W3CDTF">2015-05-28T17:31:00Z</dcterms:created>
  <dcterms:modified xsi:type="dcterms:W3CDTF">2015-05-28T17:31:00Z</dcterms:modified>
</cp:coreProperties>
</file>