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40" w:rsidRPr="00E50DEE" w:rsidRDefault="000B0A19" w:rsidP="00E50DEE">
      <w:pPr>
        <w:jc w:val="both"/>
        <w:rPr>
          <w:rFonts w:cstheme="minorHAnsi"/>
          <w:sz w:val="36"/>
          <w:szCs w:val="36"/>
        </w:rPr>
      </w:pPr>
      <w:r w:rsidRPr="00E50DEE">
        <w:rPr>
          <w:rFonts w:cstheme="minorHAnsi"/>
          <w:noProof/>
          <w:sz w:val="36"/>
          <w:szCs w:val="36"/>
          <w:lang w:val="es-CO" w:eastAsia="es-CO"/>
        </w:rPr>
        <w:drawing>
          <wp:inline distT="0" distB="0" distL="0" distR="0" wp14:anchorId="3ED1957F" wp14:editId="09610DB2">
            <wp:extent cx="1124365" cy="638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dla 30_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423" cy="640479"/>
                    </a:xfrm>
                    <a:prstGeom prst="rect">
                      <a:avLst/>
                    </a:prstGeom>
                  </pic:spPr>
                </pic:pic>
              </a:graphicData>
            </a:graphic>
          </wp:inline>
        </w:drawing>
      </w:r>
      <w:bookmarkStart w:id="0" w:name="_GoBack"/>
      <w:bookmarkEnd w:id="0"/>
    </w:p>
    <w:p w:rsidR="000B0A19" w:rsidRPr="00E50DEE" w:rsidRDefault="000B0A19" w:rsidP="00E50DEE">
      <w:pPr>
        <w:jc w:val="both"/>
        <w:rPr>
          <w:rFonts w:ascii="Copperplate Gothic Bold" w:hAnsi="Copperplate Gothic Bold" w:cstheme="minorHAnsi"/>
          <w:sz w:val="36"/>
          <w:szCs w:val="36"/>
        </w:rPr>
      </w:pPr>
      <w:r w:rsidRPr="00E50DEE">
        <w:rPr>
          <w:rFonts w:ascii="Copperplate Gothic Bold" w:hAnsi="Copperplate Gothic Bold" w:cstheme="minorHAnsi"/>
          <w:sz w:val="36"/>
          <w:szCs w:val="36"/>
        </w:rPr>
        <w:t>Nota de Prensa</w:t>
      </w:r>
    </w:p>
    <w:p w:rsidR="004A4C86" w:rsidRPr="00E50DEE" w:rsidRDefault="004A4C86" w:rsidP="00E50DEE">
      <w:pPr>
        <w:autoSpaceDE w:val="0"/>
        <w:autoSpaceDN w:val="0"/>
        <w:adjustRightInd w:val="0"/>
        <w:spacing w:after="120" w:line="240" w:lineRule="auto"/>
        <w:jc w:val="both"/>
        <w:rPr>
          <w:rFonts w:cstheme="minorHAnsi"/>
          <w:i/>
          <w:sz w:val="36"/>
          <w:szCs w:val="36"/>
        </w:rPr>
      </w:pPr>
      <w:r w:rsidRPr="00E50DEE">
        <w:rPr>
          <w:rFonts w:cstheme="minorHAnsi"/>
          <w:i/>
          <w:noProof/>
          <w:sz w:val="36"/>
          <w:szCs w:val="36"/>
          <w:lang w:val="es-CO" w:eastAsia="es-CO"/>
        </w:rPr>
        <w:drawing>
          <wp:inline distT="0" distB="0" distL="0" distR="0" wp14:anchorId="6A97F127" wp14:editId="620B57CE">
            <wp:extent cx="4162425" cy="378753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 nota de prensa.png"/>
                    <pic:cNvPicPr/>
                  </pic:nvPicPr>
                  <pic:blipFill>
                    <a:blip r:embed="rId6">
                      <a:extLst>
                        <a:ext uri="{28A0092B-C50C-407E-A947-70E740481C1C}">
                          <a14:useLocalDpi xmlns:a14="http://schemas.microsoft.com/office/drawing/2010/main" val="0"/>
                        </a:ext>
                      </a:extLst>
                    </a:blip>
                    <a:stretch>
                      <a:fillRect/>
                    </a:stretch>
                  </pic:blipFill>
                  <pic:spPr>
                    <a:xfrm>
                      <a:off x="0" y="0"/>
                      <a:ext cx="4164035" cy="3788999"/>
                    </a:xfrm>
                    <a:prstGeom prst="rect">
                      <a:avLst/>
                    </a:prstGeom>
                  </pic:spPr>
                </pic:pic>
              </a:graphicData>
            </a:graphic>
          </wp:inline>
        </w:drawing>
      </w:r>
    </w:p>
    <w:p w:rsidR="004A4C86" w:rsidRPr="00E50DEE" w:rsidRDefault="004A4C86" w:rsidP="00E50DEE">
      <w:pPr>
        <w:autoSpaceDE w:val="0"/>
        <w:autoSpaceDN w:val="0"/>
        <w:adjustRightInd w:val="0"/>
        <w:spacing w:after="120" w:line="240" w:lineRule="auto"/>
        <w:jc w:val="both"/>
        <w:rPr>
          <w:rFonts w:cstheme="minorHAnsi"/>
          <w:i/>
          <w:sz w:val="36"/>
          <w:szCs w:val="36"/>
        </w:rPr>
      </w:pPr>
    </w:p>
    <w:p w:rsidR="00421CDF" w:rsidRPr="00E50DEE" w:rsidRDefault="008D3FCE" w:rsidP="00E50DEE">
      <w:pPr>
        <w:autoSpaceDE w:val="0"/>
        <w:autoSpaceDN w:val="0"/>
        <w:adjustRightInd w:val="0"/>
        <w:spacing w:after="120" w:line="240" w:lineRule="auto"/>
        <w:jc w:val="both"/>
        <w:rPr>
          <w:rFonts w:cstheme="minorHAnsi"/>
          <w:i/>
          <w:sz w:val="36"/>
          <w:szCs w:val="36"/>
        </w:rPr>
      </w:pPr>
      <w:r w:rsidRPr="00E50DEE">
        <w:rPr>
          <w:rFonts w:cstheme="minorHAnsi"/>
          <w:i/>
          <w:sz w:val="36"/>
          <w:szCs w:val="36"/>
        </w:rPr>
        <w:t>A menudo fungen</w:t>
      </w:r>
      <w:r w:rsidRPr="00E50DEE">
        <w:rPr>
          <w:rFonts w:cstheme="minorHAnsi"/>
          <w:b/>
          <w:i/>
          <w:sz w:val="36"/>
          <w:szCs w:val="36"/>
        </w:rPr>
        <w:t xml:space="preserve"> </w:t>
      </w:r>
      <w:r w:rsidRPr="00E50DEE">
        <w:rPr>
          <w:rFonts w:cstheme="minorHAnsi"/>
          <w:i/>
          <w:sz w:val="36"/>
          <w:szCs w:val="36"/>
        </w:rPr>
        <w:t>de patrones, sin importar su origen o razón social.</w:t>
      </w:r>
    </w:p>
    <w:p w:rsidR="00421CDF" w:rsidRPr="00E50DEE" w:rsidRDefault="00421CDF" w:rsidP="00E50DEE">
      <w:pPr>
        <w:autoSpaceDE w:val="0"/>
        <w:autoSpaceDN w:val="0"/>
        <w:adjustRightInd w:val="0"/>
        <w:spacing w:after="0" w:line="240" w:lineRule="auto"/>
        <w:jc w:val="both"/>
        <w:rPr>
          <w:rFonts w:ascii="Copperplate Gothic Bold" w:hAnsi="Copperplate Gothic Bold" w:cstheme="minorHAnsi"/>
          <w:sz w:val="36"/>
          <w:szCs w:val="36"/>
        </w:rPr>
      </w:pPr>
      <w:r w:rsidRPr="00E50DEE">
        <w:rPr>
          <w:rFonts w:ascii="Copperplate Gothic Bold" w:hAnsi="Copperplate Gothic Bold" w:cstheme="minorHAnsi"/>
          <w:sz w:val="36"/>
          <w:szCs w:val="36"/>
        </w:rPr>
        <w:t>Capas d</w:t>
      </w:r>
      <w:r w:rsidR="003F5028" w:rsidRPr="00E50DEE">
        <w:rPr>
          <w:rFonts w:ascii="Copperplate Gothic Bold" w:hAnsi="Copperplate Gothic Bold" w:cstheme="minorHAnsi"/>
          <w:sz w:val="36"/>
          <w:szCs w:val="36"/>
        </w:rPr>
        <w:t>e cooperativistas se consolidan como</w:t>
      </w:r>
      <w:r w:rsidR="000B0A19" w:rsidRPr="00E50DEE">
        <w:rPr>
          <w:rFonts w:ascii="Copperplate Gothic Bold" w:hAnsi="Copperplate Gothic Bold" w:cstheme="minorHAnsi"/>
          <w:sz w:val="36"/>
          <w:szCs w:val="36"/>
        </w:rPr>
        <w:t xml:space="preserve"> </w:t>
      </w:r>
      <w:r w:rsidRPr="00E50DEE">
        <w:rPr>
          <w:rFonts w:ascii="Copperplate Gothic Bold" w:hAnsi="Copperplate Gothic Bold" w:cstheme="minorHAnsi"/>
          <w:sz w:val="36"/>
          <w:szCs w:val="36"/>
        </w:rPr>
        <w:t>clases propietarias de medios de producción</w:t>
      </w:r>
    </w:p>
    <w:p w:rsidR="00421CDF" w:rsidRPr="00E50DEE" w:rsidRDefault="00421CDF" w:rsidP="00E50DEE">
      <w:pPr>
        <w:autoSpaceDE w:val="0"/>
        <w:autoSpaceDN w:val="0"/>
        <w:adjustRightInd w:val="0"/>
        <w:spacing w:after="0" w:line="240" w:lineRule="auto"/>
        <w:ind w:firstLine="113"/>
        <w:jc w:val="both"/>
        <w:rPr>
          <w:rFonts w:cstheme="minorHAnsi"/>
          <w:sz w:val="36"/>
          <w:szCs w:val="36"/>
        </w:rPr>
      </w:pPr>
    </w:p>
    <w:p w:rsidR="00272DA7" w:rsidRPr="00E50DEE" w:rsidRDefault="008D3FCE" w:rsidP="00E50DEE">
      <w:pPr>
        <w:autoSpaceDE w:val="0"/>
        <w:autoSpaceDN w:val="0"/>
        <w:adjustRightInd w:val="0"/>
        <w:spacing w:after="120" w:line="240" w:lineRule="auto"/>
        <w:jc w:val="both"/>
        <w:rPr>
          <w:rFonts w:cstheme="minorHAnsi"/>
          <w:i/>
          <w:sz w:val="36"/>
          <w:szCs w:val="36"/>
        </w:rPr>
      </w:pPr>
      <w:r w:rsidRPr="00E50DEE">
        <w:rPr>
          <w:rFonts w:cstheme="minorHAnsi"/>
          <w:i/>
          <w:sz w:val="36"/>
          <w:szCs w:val="36"/>
        </w:rPr>
        <w:t>En muchos casos dirigen, vigilan y administran la explotación, dando al</w:t>
      </w:r>
      <w:r w:rsidR="000503A3" w:rsidRPr="00E50DEE">
        <w:rPr>
          <w:rFonts w:cstheme="minorHAnsi"/>
          <w:i/>
          <w:sz w:val="36"/>
          <w:szCs w:val="36"/>
        </w:rPr>
        <w:t xml:space="preserve"> </w:t>
      </w:r>
      <w:r w:rsidRPr="00E50DEE">
        <w:rPr>
          <w:rFonts w:cstheme="minorHAnsi"/>
          <w:i/>
          <w:sz w:val="36"/>
          <w:szCs w:val="36"/>
        </w:rPr>
        <w:t xml:space="preserve">socio privado únicamente </w:t>
      </w:r>
      <w:r w:rsidR="000503A3" w:rsidRPr="00E50DEE">
        <w:rPr>
          <w:rFonts w:cstheme="minorHAnsi"/>
          <w:i/>
          <w:sz w:val="36"/>
          <w:szCs w:val="36"/>
        </w:rPr>
        <w:t xml:space="preserve">el retorno de su inversión como </w:t>
      </w:r>
      <w:r w:rsidR="00FB7073" w:rsidRPr="00E50DEE">
        <w:rPr>
          <w:rFonts w:cstheme="minorHAnsi"/>
          <w:i/>
          <w:sz w:val="36"/>
          <w:szCs w:val="36"/>
        </w:rPr>
        <w:t>beneficio</w:t>
      </w:r>
      <w:r w:rsidR="000503A3" w:rsidRPr="00E50DEE">
        <w:rPr>
          <w:rFonts w:cstheme="minorHAnsi"/>
          <w:i/>
          <w:sz w:val="36"/>
          <w:szCs w:val="36"/>
        </w:rPr>
        <w:t xml:space="preserve"> por el fin</w:t>
      </w:r>
      <w:r w:rsidR="000B0A19" w:rsidRPr="00E50DEE">
        <w:rPr>
          <w:rFonts w:cstheme="minorHAnsi"/>
          <w:i/>
          <w:sz w:val="36"/>
          <w:szCs w:val="36"/>
        </w:rPr>
        <w:t>anciamiento de las operaciones.</w:t>
      </w:r>
    </w:p>
    <w:p w:rsidR="00CE181F" w:rsidRPr="00E50DEE" w:rsidRDefault="008D3FCE" w:rsidP="00E50DEE">
      <w:pPr>
        <w:autoSpaceDE w:val="0"/>
        <w:autoSpaceDN w:val="0"/>
        <w:adjustRightInd w:val="0"/>
        <w:spacing w:after="120" w:line="240" w:lineRule="auto"/>
        <w:jc w:val="both"/>
        <w:rPr>
          <w:rFonts w:cstheme="minorHAnsi"/>
          <w:sz w:val="36"/>
          <w:szCs w:val="36"/>
        </w:rPr>
      </w:pPr>
      <w:r w:rsidRPr="00E50DEE">
        <w:rPr>
          <w:rFonts w:cstheme="minorHAnsi"/>
          <w:b/>
          <w:i/>
          <w:sz w:val="36"/>
          <w:szCs w:val="36"/>
        </w:rPr>
        <w:lastRenderedPageBreak/>
        <w:t xml:space="preserve">La Paz, mayo </w:t>
      </w:r>
      <w:r w:rsidR="006A33EF" w:rsidRPr="00E50DEE">
        <w:rPr>
          <w:rFonts w:cstheme="minorHAnsi"/>
          <w:b/>
          <w:i/>
          <w:sz w:val="36"/>
          <w:szCs w:val="36"/>
        </w:rPr>
        <w:t>26</w:t>
      </w:r>
      <w:r w:rsidR="00421CDF" w:rsidRPr="00E50DEE">
        <w:rPr>
          <w:rFonts w:cstheme="minorHAnsi"/>
          <w:b/>
          <w:i/>
          <w:sz w:val="36"/>
          <w:szCs w:val="36"/>
        </w:rPr>
        <w:t>, (CEDLA)</w:t>
      </w:r>
      <w:r w:rsidR="000B0A19" w:rsidRPr="00E50DEE">
        <w:rPr>
          <w:rFonts w:cstheme="minorHAnsi"/>
          <w:b/>
          <w:i/>
          <w:sz w:val="36"/>
          <w:szCs w:val="36"/>
        </w:rPr>
        <w:t>.</w:t>
      </w:r>
      <w:r w:rsidR="00215FC3" w:rsidRPr="00E50DEE">
        <w:rPr>
          <w:rFonts w:cstheme="minorHAnsi"/>
          <w:b/>
          <w:i/>
          <w:sz w:val="36"/>
          <w:szCs w:val="36"/>
        </w:rPr>
        <w:t>–</w:t>
      </w:r>
      <w:r w:rsidR="00215FC3" w:rsidRPr="00E50DEE">
        <w:rPr>
          <w:rFonts w:cstheme="minorHAnsi"/>
          <w:sz w:val="36"/>
          <w:szCs w:val="36"/>
        </w:rPr>
        <w:t xml:space="preserve"> Mientras ciertos e</w:t>
      </w:r>
      <w:r w:rsidR="00851AEB" w:rsidRPr="00E50DEE">
        <w:rPr>
          <w:rFonts w:cstheme="minorHAnsi"/>
          <w:sz w:val="36"/>
          <w:szCs w:val="36"/>
        </w:rPr>
        <w:t>stratos de cooperativistas</w:t>
      </w:r>
      <w:r w:rsidR="00215FC3" w:rsidRPr="00E50DEE">
        <w:rPr>
          <w:rFonts w:cstheme="minorHAnsi"/>
          <w:sz w:val="36"/>
          <w:szCs w:val="36"/>
        </w:rPr>
        <w:t xml:space="preserve"> </w:t>
      </w:r>
      <w:r w:rsidR="00421CDF" w:rsidRPr="00E50DEE">
        <w:rPr>
          <w:rFonts w:cstheme="minorHAnsi"/>
          <w:sz w:val="36"/>
          <w:szCs w:val="36"/>
        </w:rPr>
        <w:t xml:space="preserve">se consolidan como clases propietarias de medios de producción y rentistas, </w:t>
      </w:r>
      <w:r w:rsidR="00B3418F" w:rsidRPr="00E50DEE">
        <w:rPr>
          <w:rFonts w:cstheme="minorHAnsi"/>
          <w:sz w:val="36"/>
          <w:szCs w:val="36"/>
        </w:rPr>
        <w:t xml:space="preserve">crece </w:t>
      </w:r>
      <w:r w:rsidR="00421CDF" w:rsidRPr="00E50DEE">
        <w:rPr>
          <w:rFonts w:cstheme="minorHAnsi"/>
          <w:sz w:val="36"/>
          <w:szCs w:val="36"/>
        </w:rPr>
        <w:t xml:space="preserve"> </w:t>
      </w:r>
      <w:r w:rsidR="00B3418F" w:rsidRPr="00E50DEE">
        <w:rPr>
          <w:rFonts w:cstheme="minorHAnsi"/>
          <w:sz w:val="36"/>
          <w:szCs w:val="36"/>
        </w:rPr>
        <w:t>paulatinamente el número de</w:t>
      </w:r>
      <w:r w:rsidR="00421CDF" w:rsidRPr="00E50DEE">
        <w:rPr>
          <w:rFonts w:cstheme="minorHAnsi"/>
          <w:sz w:val="36"/>
          <w:szCs w:val="36"/>
        </w:rPr>
        <w:t xml:space="preserve"> t</w:t>
      </w:r>
      <w:r w:rsidR="00B3418F" w:rsidRPr="00E50DEE">
        <w:rPr>
          <w:rFonts w:cstheme="minorHAnsi"/>
          <w:sz w:val="36"/>
          <w:szCs w:val="36"/>
        </w:rPr>
        <w:t xml:space="preserve">rabajadores </w:t>
      </w:r>
      <w:r w:rsidR="00421CDF" w:rsidRPr="00E50DEE">
        <w:rPr>
          <w:rFonts w:cstheme="minorHAnsi"/>
          <w:sz w:val="36"/>
          <w:szCs w:val="36"/>
        </w:rPr>
        <w:t>que dependen de la venta de su fuerza de trabajo a cambio de una remunera</w:t>
      </w:r>
      <w:r w:rsidR="00421CDF" w:rsidRPr="00E50DEE">
        <w:rPr>
          <w:rFonts w:cstheme="minorHAnsi"/>
          <w:sz w:val="36"/>
          <w:szCs w:val="36"/>
        </w:rPr>
        <w:softHyphen/>
        <w:t>ción monetaria,</w:t>
      </w:r>
      <w:r w:rsidR="00394A66" w:rsidRPr="00E50DEE">
        <w:rPr>
          <w:rFonts w:cstheme="minorHAnsi"/>
          <w:sz w:val="36"/>
          <w:szCs w:val="36"/>
        </w:rPr>
        <w:t xml:space="preserve"> según </w:t>
      </w:r>
      <w:r w:rsidR="00215FC3" w:rsidRPr="00E50DEE">
        <w:rPr>
          <w:rFonts w:cstheme="minorHAnsi"/>
          <w:sz w:val="36"/>
          <w:szCs w:val="36"/>
        </w:rPr>
        <w:t xml:space="preserve">el informe  </w:t>
      </w:r>
      <w:r w:rsidR="00211828" w:rsidRPr="00E50DEE">
        <w:rPr>
          <w:rFonts w:cstheme="minorHAnsi"/>
          <w:sz w:val="36"/>
          <w:szCs w:val="36"/>
        </w:rPr>
        <w:t>E</w:t>
      </w:r>
      <w:r w:rsidR="00215FC3" w:rsidRPr="00E50DEE">
        <w:rPr>
          <w:rFonts w:cstheme="minorHAnsi"/>
          <w:sz w:val="36"/>
          <w:szCs w:val="36"/>
        </w:rPr>
        <w:t>xtracción de oro</w:t>
      </w:r>
      <w:r w:rsidR="00394A66" w:rsidRPr="00E50DEE">
        <w:rPr>
          <w:rFonts w:cstheme="minorHAnsi"/>
          <w:sz w:val="36"/>
          <w:szCs w:val="36"/>
        </w:rPr>
        <w:t xml:space="preserve"> </w:t>
      </w:r>
      <w:r w:rsidR="00215FC3" w:rsidRPr="00E50DEE">
        <w:rPr>
          <w:rFonts w:cstheme="minorHAnsi"/>
          <w:sz w:val="36"/>
          <w:szCs w:val="36"/>
        </w:rPr>
        <w:t xml:space="preserve">en la </w:t>
      </w:r>
      <w:r w:rsidR="00394A66" w:rsidRPr="00E50DEE">
        <w:rPr>
          <w:rFonts w:cstheme="minorHAnsi"/>
          <w:sz w:val="36"/>
          <w:szCs w:val="36"/>
        </w:rPr>
        <w:t>cuenca Tipuani-Mapiri,</w:t>
      </w:r>
      <w:r w:rsidR="00215FC3" w:rsidRPr="00E50DEE">
        <w:rPr>
          <w:rFonts w:cstheme="minorHAnsi"/>
          <w:sz w:val="36"/>
          <w:szCs w:val="36"/>
        </w:rPr>
        <w:t xml:space="preserve"> </w:t>
      </w:r>
      <w:r w:rsidR="00394A66" w:rsidRPr="00E50DEE">
        <w:rPr>
          <w:rFonts w:cstheme="minorHAnsi"/>
          <w:sz w:val="36"/>
          <w:szCs w:val="36"/>
        </w:rPr>
        <w:t>el</w:t>
      </w:r>
      <w:r w:rsidR="00ED24CE" w:rsidRPr="00E50DEE">
        <w:rPr>
          <w:rFonts w:cstheme="minorHAnsi"/>
          <w:sz w:val="36"/>
          <w:szCs w:val="36"/>
        </w:rPr>
        <w:t>aborado por el sociólogo</w:t>
      </w:r>
      <w:r w:rsidR="00394A66" w:rsidRPr="00E50DEE">
        <w:rPr>
          <w:rFonts w:cstheme="minorHAnsi"/>
          <w:sz w:val="36"/>
          <w:szCs w:val="36"/>
        </w:rPr>
        <w:t xml:space="preserve"> Neyer Nogales para CEDLA.</w:t>
      </w:r>
    </w:p>
    <w:p w:rsidR="00851AEB" w:rsidRPr="00E50DEE" w:rsidRDefault="00CE181F"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Sean peones, trabajadores a contrato, operadores de maquinaria, “representante” o “voluntario</w:t>
      </w:r>
      <w:r w:rsidR="003F5028" w:rsidRPr="00E50DEE">
        <w:rPr>
          <w:rFonts w:cstheme="minorHAnsi"/>
          <w:sz w:val="36"/>
          <w:szCs w:val="36"/>
        </w:rPr>
        <w:t xml:space="preserve">”, afirmó  el especialista, resultan igualmente </w:t>
      </w:r>
      <w:r w:rsidRPr="00E50DEE">
        <w:rPr>
          <w:rFonts w:cstheme="minorHAnsi"/>
          <w:sz w:val="36"/>
          <w:szCs w:val="36"/>
        </w:rPr>
        <w:t xml:space="preserve"> requeridos y  rechazados </w:t>
      </w:r>
      <w:r w:rsidR="00CD7E60" w:rsidRPr="00E50DEE">
        <w:rPr>
          <w:rFonts w:cstheme="minorHAnsi"/>
          <w:sz w:val="36"/>
          <w:szCs w:val="36"/>
        </w:rPr>
        <w:t xml:space="preserve">por temporadas </w:t>
      </w:r>
      <w:r w:rsidRPr="00E50DEE">
        <w:rPr>
          <w:rFonts w:cstheme="minorHAnsi"/>
          <w:sz w:val="36"/>
          <w:szCs w:val="36"/>
        </w:rPr>
        <w:t xml:space="preserve">en esa cuenca del norte tropical paceño, considerada </w:t>
      </w:r>
      <w:r w:rsidR="00272DA7" w:rsidRPr="00E50DEE">
        <w:rPr>
          <w:rFonts w:cstheme="minorHAnsi"/>
          <w:sz w:val="36"/>
          <w:szCs w:val="36"/>
        </w:rPr>
        <w:t>u</w:t>
      </w:r>
      <w:r w:rsidRPr="00E50DEE">
        <w:rPr>
          <w:rFonts w:cstheme="minorHAnsi"/>
          <w:sz w:val="36"/>
          <w:szCs w:val="36"/>
        </w:rPr>
        <w:t>no de los depósitos aluviales más importantes del mundo.</w:t>
      </w:r>
    </w:p>
    <w:p w:rsidR="00CE181F" w:rsidRPr="00E50DEE" w:rsidRDefault="00CE181F"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 xml:space="preserve">Por lo menos esa fue la calificación que le dieron en los años 80, la cooperación francesa y la universidad estatal (proyecto ORSTOM-UMSA) en investigaciones a las que accedieron </w:t>
      </w:r>
      <w:r w:rsidR="00CD7E60" w:rsidRPr="00E50DEE">
        <w:rPr>
          <w:rFonts w:cstheme="minorHAnsi"/>
          <w:sz w:val="36"/>
          <w:szCs w:val="36"/>
        </w:rPr>
        <w:t xml:space="preserve">entonces </w:t>
      </w:r>
      <w:r w:rsidRPr="00E50DEE">
        <w:rPr>
          <w:rFonts w:cstheme="minorHAnsi"/>
          <w:sz w:val="36"/>
          <w:szCs w:val="36"/>
        </w:rPr>
        <w:t>los afiliados de la Federación Regional de Cooperativas (FERRECO), de acuerdo al convenio, aunque ahora se cree que yacimientos más ricos existen en los ríos Tuichi, de La Paz y Madera, de Pando.</w:t>
      </w:r>
    </w:p>
    <w:p w:rsidR="00272DA7" w:rsidRPr="00E50DEE" w:rsidRDefault="00272DA7"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Otros trabajadores denominados “barranquilleros” constituyen “una sobrepoblación relativa, anexada por el capitalismo para la producción minera, que se incorpora como parte del ejército de reserva de desocupados, de la clase obrera rural, en espera del llamado de la industria”.</w:t>
      </w:r>
    </w:p>
    <w:p w:rsidR="00CE181F" w:rsidRPr="00E50DEE" w:rsidRDefault="003F5028"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 xml:space="preserve">La zona se </w:t>
      </w:r>
      <w:r w:rsidR="00FB7073" w:rsidRPr="00E50DEE">
        <w:rPr>
          <w:rFonts w:cstheme="minorHAnsi"/>
          <w:sz w:val="36"/>
          <w:szCs w:val="36"/>
        </w:rPr>
        <w:t>ubica en el milenario Paleocance</w:t>
      </w:r>
      <w:r w:rsidRPr="00E50DEE">
        <w:rPr>
          <w:rFonts w:cstheme="minorHAnsi"/>
          <w:sz w:val="36"/>
          <w:szCs w:val="36"/>
        </w:rPr>
        <w:t xml:space="preserve"> Cangallí y</w:t>
      </w:r>
      <w:r w:rsidR="00CD7E60" w:rsidRPr="00E50DEE">
        <w:rPr>
          <w:rFonts w:cstheme="minorHAnsi"/>
          <w:sz w:val="36"/>
          <w:szCs w:val="36"/>
        </w:rPr>
        <w:t xml:space="preserve"> comprende</w:t>
      </w:r>
      <w:r w:rsidR="00FB7073" w:rsidRPr="00E50DEE">
        <w:rPr>
          <w:rFonts w:cstheme="minorHAnsi"/>
          <w:sz w:val="36"/>
          <w:szCs w:val="36"/>
        </w:rPr>
        <w:t>, entre otros,</w:t>
      </w:r>
      <w:r w:rsidR="00CD7E60" w:rsidRPr="00E50DEE">
        <w:rPr>
          <w:rFonts w:cstheme="minorHAnsi"/>
          <w:sz w:val="36"/>
          <w:szCs w:val="36"/>
        </w:rPr>
        <w:t xml:space="preserve"> los municipios de Guanay, Mapiri y </w:t>
      </w:r>
      <w:r w:rsidR="00CD7E60" w:rsidRPr="00E50DEE">
        <w:rPr>
          <w:rFonts w:cstheme="minorHAnsi"/>
          <w:sz w:val="36"/>
          <w:szCs w:val="36"/>
        </w:rPr>
        <w:lastRenderedPageBreak/>
        <w:t xml:space="preserve">Tipuani de la provincia Larecaja, </w:t>
      </w:r>
      <w:r w:rsidR="00272DA7" w:rsidRPr="00E50DEE">
        <w:rPr>
          <w:rFonts w:cstheme="minorHAnsi"/>
          <w:sz w:val="36"/>
          <w:szCs w:val="36"/>
        </w:rPr>
        <w:t xml:space="preserve">habitados estos tres </w:t>
      </w:r>
      <w:r w:rsidR="00CD7E60" w:rsidRPr="00E50DEE">
        <w:rPr>
          <w:rFonts w:cstheme="minorHAnsi"/>
          <w:sz w:val="36"/>
          <w:szCs w:val="36"/>
        </w:rPr>
        <w:t>por 38 mil personas, la mayor parte</w:t>
      </w:r>
      <w:r w:rsidRPr="00E50DEE">
        <w:rPr>
          <w:rFonts w:cstheme="minorHAnsi"/>
          <w:sz w:val="36"/>
          <w:szCs w:val="36"/>
        </w:rPr>
        <w:t xml:space="preserve"> de procedencia campesina </w:t>
      </w:r>
      <w:r w:rsidR="00FB7073" w:rsidRPr="00E50DEE">
        <w:rPr>
          <w:rFonts w:cstheme="minorHAnsi"/>
          <w:sz w:val="36"/>
          <w:szCs w:val="36"/>
        </w:rPr>
        <w:t xml:space="preserve">y </w:t>
      </w:r>
      <w:r w:rsidRPr="00E50DEE">
        <w:rPr>
          <w:rFonts w:cstheme="minorHAnsi"/>
          <w:sz w:val="36"/>
          <w:szCs w:val="36"/>
        </w:rPr>
        <w:t>con</w:t>
      </w:r>
      <w:r w:rsidR="00CD7E60" w:rsidRPr="00E50DEE">
        <w:rPr>
          <w:rFonts w:cstheme="minorHAnsi"/>
          <w:sz w:val="36"/>
          <w:szCs w:val="36"/>
        </w:rPr>
        <w:t xml:space="preserve"> 6.000 indígenas lecos </w:t>
      </w:r>
      <w:r w:rsidR="00272DA7" w:rsidRPr="00E50DEE">
        <w:rPr>
          <w:rFonts w:cstheme="minorHAnsi"/>
          <w:sz w:val="36"/>
          <w:szCs w:val="36"/>
        </w:rPr>
        <w:t xml:space="preserve">(Censo 2012) </w:t>
      </w:r>
      <w:r w:rsidR="00CD7E60" w:rsidRPr="00E50DEE">
        <w:rPr>
          <w:rFonts w:cstheme="minorHAnsi"/>
          <w:sz w:val="36"/>
          <w:szCs w:val="36"/>
        </w:rPr>
        <w:t xml:space="preserve">articulados a la economía aurífera  a través del </w:t>
      </w:r>
      <w:r w:rsidR="00FE4334" w:rsidRPr="00E50DEE">
        <w:rPr>
          <w:rFonts w:cstheme="minorHAnsi"/>
          <w:sz w:val="36"/>
          <w:szCs w:val="36"/>
        </w:rPr>
        <w:t>“</w:t>
      </w:r>
      <w:r w:rsidR="00CD7E60" w:rsidRPr="00E50DEE">
        <w:rPr>
          <w:rFonts w:cstheme="minorHAnsi"/>
          <w:sz w:val="36"/>
          <w:szCs w:val="36"/>
        </w:rPr>
        <w:t>barranquilleo</w:t>
      </w:r>
      <w:r w:rsidR="00FE4334" w:rsidRPr="00E50DEE">
        <w:rPr>
          <w:rFonts w:cstheme="minorHAnsi"/>
          <w:sz w:val="36"/>
          <w:szCs w:val="36"/>
        </w:rPr>
        <w:t>”</w:t>
      </w:r>
      <w:r w:rsidR="00CD7E60" w:rsidRPr="00E50DEE">
        <w:rPr>
          <w:rFonts w:cstheme="minorHAnsi"/>
          <w:sz w:val="36"/>
          <w:szCs w:val="36"/>
        </w:rPr>
        <w:t xml:space="preserve"> de pequeñas operaciones en playas y asociación con</w:t>
      </w:r>
      <w:r w:rsidR="00FE4334" w:rsidRPr="00E50DEE">
        <w:rPr>
          <w:rFonts w:cstheme="minorHAnsi"/>
          <w:sz w:val="36"/>
          <w:szCs w:val="36"/>
        </w:rPr>
        <w:t xml:space="preserve"> empresas privadas que medran de las tierras comunitarias de origen.</w:t>
      </w:r>
    </w:p>
    <w:p w:rsidR="001607D0" w:rsidRPr="00E50DEE" w:rsidRDefault="001607D0"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Du</w:t>
      </w:r>
      <w:r w:rsidR="00272DA7" w:rsidRPr="00E50DEE">
        <w:rPr>
          <w:rFonts w:cstheme="minorHAnsi"/>
          <w:sz w:val="36"/>
          <w:szCs w:val="36"/>
        </w:rPr>
        <w:t>rante el gobierno del</w:t>
      </w:r>
      <w:r w:rsidRPr="00E50DEE">
        <w:rPr>
          <w:rFonts w:cstheme="minorHAnsi"/>
          <w:sz w:val="36"/>
          <w:szCs w:val="36"/>
        </w:rPr>
        <w:t xml:space="preserve"> MAS, coincidente con el auge de precios los conflictos entre distintos actores por el excedente han mostrado, subrayó el sociólogo,  </w:t>
      </w:r>
      <w:r w:rsidR="00FB7073" w:rsidRPr="00E50DEE">
        <w:rPr>
          <w:rFonts w:cstheme="minorHAnsi"/>
          <w:sz w:val="36"/>
          <w:szCs w:val="36"/>
        </w:rPr>
        <w:t xml:space="preserve">ciertos </w:t>
      </w:r>
      <w:r w:rsidRPr="00E50DEE">
        <w:rPr>
          <w:rFonts w:cstheme="minorHAnsi"/>
          <w:sz w:val="36"/>
          <w:szCs w:val="36"/>
        </w:rPr>
        <w:t xml:space="preserve">cambios, siendo los cooperativistas actores privilegiados, en </w:t>
      </w:r>
      <w:r w:rsidR="00FB7073" w:rsidRPr="00E50DEE">
        <w:rPr>
          <w:rFonts w:cstheme="minorHAnsi"/>
          <w:sz w:val="36"/>
          <w:szCs w:val="36"/>
        </w:rPr>
        <w:t>los derechos sobre</w:t>
      </w:r>
      <w:r w:rsidRPr="00E50DEE">
        <w:rPr>
          <w:rFonts w:cstheme="minorHAnsi"/>
          <w:sz w:val="36"/>
          <w:szCs w:val="36"/>
        </w:rPr>
        <w:t xml:space="preserve"> la tierra, y con ciertos beneficios extraordinarios y subsidios en la extracción de minerales. </w:t>
      </w:r>
    </w:p>
    <w:p w:rsidR="004A4C86" w:rsidRPr="00E50DEE" w:rsidRDefault="001607D0"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 xml:space="preserve">Sin embargo, mostraron también capacidad de negociación y  estuvieron incluso dispuestas a ceder parte de sus tierras a comunidades demandantes, o transferirles acciones para asimilarlos al sistema. “Por detrás de estos conflictos está el interés de ganancia y renta de comunarios, cooperativistas y empresarios privados”, agregó. </w:t>
      </w:r>
    </w:p>
    <w:p w:rsidR="000503A3" w:rsidRPr="00E50DEE" w:rsidRDefault="004A4C86" w:rsidP="00E50DEE">
      <w:pPr>
        <w:autoSpaceDE w:val="0"/>
        <w:autoSpaceDN w:val="0"/>
        <w:adjustRightInd w:val="0"/>
        <w:spacing w:after="120" w:line="240" w:lineRule="auto"/>
        <w:jc w:val="both"/>
        <w:rPr>
          <w:rFonts w:cstheme="minorHAnsi"/>
          <w:sz w:val="36"/>
          <w:szCs w:val="36"/>
        </w:rPr>
      </w:pPr>
      <w:r w:rsidRPr="00E50DEE">
        <w:rPr>
          <w:rFonts w:cstheme="minorHAnsi"/>
          <w:b/>
          <w:sz w:val="36"/>
          <w:szCs w:val="36"/>
        </w:rPr>
        <w:t>CAPITALES INVERTIDOS VS. SALARIOS Y FUERZA DE TRABAJO</w:t>
      </w:r>
    </w:p>
    <w:p w:rsidR="001607D0" w:rsidRPr="00E50DEE" w:rsidRDefault="004A4C86" w:rsidP="00E50DEE">
      <w:pPr>
        <w:autoSpaceDE w:val="0"/>
        <w:autoSpaceDN w:val="0"/>
        <w:adjustRightInd w:val="0"/>
        <w:spacing w:after="120" w:line="240" w:lineRule="auto"/>
        <w:jc w:val="both"/>
        <w:rPr>
          <w:rFonts w:cstheme="minorHAnsi"/>
          <w:sz w:val="36"/>
          <w:szCs w:val="36"/>
        </w:rPr>
      </w:pPr>
      <w:r w:rsidRPr="00E50DEE">
        <w:rPr>
          <w:rFonts w:cstheme="minorHAnsi"/>
          <w:noProof/>
          <w:sz w:val="36"/>
          <w:szCs w:val="36"/>
          <w:lang w:val="es-CO" w:eastAsia="es-CO"/>
        </w:rPr>
        <w:lastRenderedPageBreak/>
        <w:drawing>
          <wp:inline distT="0" distB="0" distL="0" distR="0" wp14:anchorId="68347697" wp14:editId="3FB66941">
            <wp:extent cx="5612130" cy="266636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adro aproximado.png"/>
                    <pic:cNvPicPr/>
                  </pic:nvPicPr>
                  <pic:blipFill>
                    <a:blip r:embed="rId7">
                      <a:extLst>
                        <a:ext uri="{28A0092B-C50C-407E-A947-70E740481C1C}">
                          <a14:useLocalDpi xmlns:a14="http://schemas.microsoft.com/office/drawing/2010/main" val="0"/>
                        </a:ext>
                      </a:extLst>
                    </a:blip>
                    <a:stretch>
                      <a:fillRect/>
                    </a:stretch>
                  </pic:blipFill>
                  <pic:spPr>
                    <a:xfrm>
                      <a:off x="0" y="0"/>
                      <a:ext cx="5612130" cy="2666365"/>
                    </a:xfrm>
                    <a:prstGeom prst="rect">
                      <a:avLst/>
                    </a:prstGeom>
                  </pic:spPr>
                </pic:pic>
              </a:graphicData>
            </a:graphic>
          </wp:inline>
        </w:drawing>
      </w:r>
    </w:p>
    <w:p w:rsidR="001607D0" w:rsidRPr="00E50DEE" w:rsidRDefault="001607D0" w:rsidP="00E50DEE">
      <w:pPr>
        <w:autoSpaceDE w:val="0"/>
        <w:autoSpaceDN w:val="0"/>
        <w:adjustRightInd w:val="0"/>
        <w:spacing w:after="120" w:line="240" w:lineRule="auto"/>
        <w:jc w:val="both"/>
        <w:rPr>
          <w:rFonts w:cstheme="minorHAnsi"/>
          <w:b/>
          <w:sz w:val="36"/>
          <w:szCs w:val="36"/>
        </w:rPr>
      </w:pPr>
      <w:r w:rsidRPr="00E50DEE">
        <w:rPr>
          <w:rFonts w:cstheme="minorHAnsi"/>
          <w:b/>
          <w:sz w:val="36"/>
          <w:szCs w:val="36"/>
        </w:rPr>
        <w:t>INDIGENAS Y CAMPESINOS</w:t>
      </w:r>
      <w:r w:rsidR="000503A3" w:rsidRPr="00E50DEE">
        <w:rPr>
          <w:rFonts w:cstheme="minorHAnsi"/>
          <w:b/>
          <w:sz w:val="36"/>
          <w:szCs w:val="36"/>
        </w:rPr>
        <w:t xml:space="preserve"> </w:t>
      </w:r>
      <w:r w:rsidRPr="00E50DEE">
        <w:rPr>
          <w:rFonts w:cstheme="minorHAnsi"/>
          <w:b/>
          <w:sz w:val="36"/>
          <w:szCs w:val="36"/>
        </w:rPr>
        <w:t>AL BARRANQUILLEO</w:t>
      </w:r>
    </w:p>
    <w:p w:rsidR="00FE4334" w:rsidRPr="00E50DEE" w:rsidRDefault="00FE4334"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 xml:space="preserve">Desde el alza </w:t>
      </w:r>
      <w:r w:rsidR="00FB7073" w:rsidRPr="00E50DEE">
        <w:rPr>
          <w:rFonts w:cstheme="minorHAnsi"/>
          <w:sz w:val="36"/>
          <w:szCs w:val="36"/>
        </w:rPr>
        <w:t xml:space="preserve">de precios </w:t>
      </w:r>
      <w:r w:rsidRPr="00E50DEE">
        <w:rPr>
          <w:rFonts w:cstheme="minorHAnsi"/>
          <w:sz w:val="36"/>
          <w:szCs w:val="36"/>
        </w:rPr>
        <w:t>del año 2000 y la intensificada producción en los últimos cinco año</w:t>
      </w:r>
      <w:r w:rsidR="00FB7073" w:rsidRPr="00E50DEE">
        <w:rPr>
          <w:rFonts w:cstheme="minorHAnsi"/>
          <w:sz w:val="36"/>
          <w:szCs w:val="36"/>
        </w:rPr>
        <w:t>s</w:t>
      </w:r>
      <w:r w:rsidR="00272DA7" w:rsidRPr="00E50DEE">
        <w:rPr>
          <w:rFonts w:cstheme="minorHAnsi"/>
          <w:sz w:val="36"/>
          <w:szCs w:val="36"/>
        </w:rPr>
        <w:t>,</w:t>
      </w:r>
      <w:r w:rsidRPr="00E50DEE">
        <w:rPr>
          <w:rFonts w:cstheme="minorHAnsi"/>
          <w:sz w:val="36"/>
          <w:szCs w:val="36"/>
        </w:rPr>
        <w:t xml:space="preserve"> “prácticamente todas las comunidades </w:t>
      </w:r>
      <w:r w:rsidR="001A7EB0" w:rsidRPr="00E50DEE">
        <w:rPr>
          <w:rFonts w:cstheme="minorHAnsi"/>
          <w:sz w:val="36"/>
          <w:szCs w:val="36"/>
        </w:rPr>
        <w:t xml:space="preserve">indígenas </w:t>
      </w:r>
      <w:r w:rsidRPr="00E50DEE">
        <w:rPr>
          <w:rFonts w:cstheme="minorHAnsi"/>
          <w:sz w:val="36"/>
          <w:szCs w:val="36"/>
        </w:rPr>
        <w:t>conformaron cooperativas o emp</w:t>
      </w:r>
      <w:r w:rsidR="003F5028" w:rsidRPr="00E50DEE">
        <w:rPr>
          <w:rFonts w:cstheme="minorHAnsi"/>
          <w:sz w:val="36"/>
          <w:szCs w:val="36"/>
        </w:rPr>
        <w:t>resas”. P</w:t>
      </w:r>
      <w:r w:rsidRPr="00E50DEE">
        <w:rPr>
          <w:rFonts w:cstheme="minorHAnsi"/>
          <w:sz w:val="36"/>
          <w:szCs w:val="36"/>
        </w:rPr>
        <w:t xml:space="preserve">ero carentes de capital y </w:t>
      </w:r>
      <w:r w:rsidR="00272DA7" w:rsidRPr="00E50DEE">
        <w:rPr>
          <w:rFonts w:cstheme="minorHAnsi"/>
          <w:sz w:val="36"/>
          <w:szCs w:val="36"/>
        </w:rPr>
        <w:t>conocimientos mineros</w:t>
      </w:r>
      <w:r w:rsidRPr="00E50DEE">
        <w:rPr>
          <w:rFonts w:cstheme="minorHAnsi"/>
          <w:sz w:val="36"/>
          <w:szCs w:val="36"/>
        </w:rPr>
        <w:t xml:space="preserve"> “terminan en alianza con cap</w:t>
      </w:r>
      <w:r w:rsidR="003F5028" w:rsidRPr="00E50DEE">
        <w:rPr>
          <w:rFonts w:cstheme="minorHAnsi"/>
          <w:sz w:val="36"/>
          <w:szCs w:val="36"/>
        </w:rPr>
        <w:t>itales privad</w:t>
      </w:r>
      <w:r w:rsidR="00272DA7" w:rsidRPr="00E50DEE">
        <w:rPr>
          <w:rFonts w:cstheme="minorHAnsi"/>
          <w:sz w:val="36"/>
          <w:szCs w:val="36"/>
        </w:rPr>
        <w:t>os, es decir que complementa su</w:t>
      </w:r>
      <w:r w:rsidRPr="00E50DEE">
        <w:rPr>
          <w:rFonts w:cstheme="minorHAnsi"/>
          <w:sz w:val="36"/>
          <w:szCs w:val="36"/>
        </w:rPr>
        <w:t xml:space="preserve"> trabajo agrícola </w:t>
      </w:r>
      <w:r w:rsidR="003F5028" w:rsidRPr="00E50DEE">
        <w:rPr>
          <w:rFonts w:cstheme="minorHAnsi"/>
          <w:sz w:val="36"/>
          <w:szCs w:val="36"/>
        </w:rPr>
        <w:t xml:space="preserve">con </w:t>
      </w:r>
      <w:r w:rsidRPr="00E50DEE">
        <w:rPr>
          <w:rFonts w:cstheme="minorHAnsi"/>
          <w:sz w:val="36"/>
          <w:szCs w:val="36"/>
        </w:rPr>
        <w:t>una renta</w:t>
      </w:r>
      <w:r w:rsidR="00272DA7" w:rsidRPr="00E50DEE">
        <w:rPr>
          <w:rFonts w:cstheme="minorHAnsi"/>
          <w:sz w:val="36"/>
          <w:szCs w:val="36"/>
        </w:rPr>
        <w:t xml:space="preserve"> minera</w:t>
      </w:r>
      <w:r w:rsidRPr="00E50DEE">
        <w:rPr>
          <w:rFonts w:cstheme="minorHAnsi"/>
          <w:sz w:val="36"/>
          <w:szCs w:val="36"/>
        </w:rPr>
        <w:t xml:space="preserve"> de la tierra, en tanto que la empresa se lleva el grueso de los beneficios”, sustentó Nogales.</w:t>
      </w:r>
    </w:p>
    <w:p w:rsidR="00421CDF" w:rsidRPr="00E50DEE" w:rsidRDefault="002B3317"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 xml:space="preserve">Encontró también que </w:t>
      </w:r>
      <w:r w:rsidR="00CF04FE" w:rsidRPr="00E50DEE">
        <w:rPr>
          <w:rFonts w:cstheme="minorHAnsi"/>
          <w:sz w:val="36"/>
          <w:szCs w:val="36"/>
        </w:rPr>
        <w:t xml:space="preserve">en un contexto de desigual participación en los excedentes generados por la minería del oro, </w:t>
      </w:r>
      <w:r w:rsidRPr="00E50DEE">
        <w:rPr>
          <w:rFonts w:cstheme="minorHAnsi"/>
          <w:sz w:val="36"/>
          <w:szCs w:val="36"/>
        </w:rPr>
        <w:t>“</w:t>
      </w:r>
      <w:r w:rsidR="00CF04FE" w:rsidRPr="00E50DEE">
        <w:rPr>
          <w:rFonts w:cstheme="minorHAnsi"/>
          <w:sz w:val="36"/>
          <w:szCs w:val="36"/>
        </w:rPr>
        <w:t>l</w:t>
      </w:r>
      <w:r w:rsidR="00421CDF" w:rsidRPr="00E50DEE">
        <w:rPr>
          <w:rFonts w:cstheme="minorHAnsi"/>
          <w:sz w:val="36"/>
          <w:szCs w:val="36"/>
        </w:rPr>
        <w:t xml:space="preserve">a </w:t>
      </w:r>
      <w:r w:rsidRPr="00E50DEE">
        <w:rPr>
          <w:rFonts w:cstheme="minorHAnsi"/>
          <w:sz w:val="36"/>
          <w:szCs w:val="36"/>
        </w:rPr>
        <w:t>reducción de las categorías de voluntarios y representantes</w:t>
      </w:r>
      <w:r w:rsidR="00421CDF" w:rsidRPr="00E50DEE">
        <w:rPr>
          <w:rFonts w:cstheme="minorHAnsi"/>
          <w:sz w:val="36"/>
          <w:szCs w:val="36"/>
        </w:rPr>
        <w:t xml:space="preserve"> a favor de los asalariados sin otra denomi</w:t>
      </w:r>
      <w:r w:rsidR="00421CDF" w:rsidRPr="00E50DEE">
        <w:rPr>
          <w:rFonts w:cstheme="minorHAnsi"/>
          <w:sz w:val="36"/>
          <w:szCs w:val="36"/>
        </w:rPr>
        <w:softHyphen/>
        <w:t>nación</w:t>
      </w:r>
      <w:r w:rsidR="00272DA7" w:rsidRPr="00E50DEE">
        <w:rPr>
          <w:rFonts w:cstheme="minorHAnsi"/>
          <w:sz w:val="36"/>
          <w:szCs w:val="36"/>
        </w:rPr>
        <w:t>”</w:t>
      </w:r>
      <w:r w:rsidR="003F5028" w:rsidRPr="00E50DEE">
        <w:rPr>
          <w:rFonts w:cstheme="minorHAnsi"/>
          <w:sz w:val="36"/>
          <w:szCs w:val="36"/>
        </w:rPr>
        <w:t>,</w:t>
      </w:r>
      <w:r w:rsidR="00421CDF" w:rsidRPr="00E50DEE">
        <w:rPr>
          <w:rFonts w:cstheme="minorHAnsi"/>
          <w:sz w:val="36"/>
          <w:szCs w:val="36"/>
        </w:rPr>
        <w:t xml:space="preserve"> confirm</w:t>
      </w:r>
      <w:r w:rsidR="00CF04FE" w:rsidRPr="00E50DEE">
        <w:rPr>
          <w:rFonts w:cstheme="minorHAnsi"/>
          <w:sz w:val="36"/>
          <w:szCs w:val="36"/>
        </w:rPr>
        <w:t>a a capas de cooperativistas como clase propietaria</w:t>
      </w:r>
      <w:r w:rsidRPr="00E50DEE">
        <w:rPr>
          <w:rFonts w:cstheme="minorHAnsi"/>
          <w:sz w:val="36"/>
          <w:szCs w:val="36"/>
        </w:rPr>
        <w:t>.</w:t>
      </w:r>
    </w:p>
    <w:p w:rsidR="002B3317" w:rsidRPr="00E50DEE" w:rsidRDefault="002B3317"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 xml:space="preserve">Por su parte los </w:t>
      </w:r>
      <w:r w:rsidR="00421CDF" w:rsidRPr="00E50DEE">
        <w:rPr>
          <w:rFonts w:cstheme="minorHAnsi"/>
          <w:sz w:val="36"/>
          <w:szCs w:val="36"/>
        </w:rPr>
        <w:t>barranqui</w:t>
      </w:r>
      <w:r w:rsidR="00421CDF" w:rsidRPr="00E50DEE">
        <w:rPr>
          <w:rFonts w:cstheme="minorHAnsi"/>
          <w:sz w:val="36"/>
          <w:szCs w:val="36"/>
        </w:rPr>
        <w:softHyphen/>
        <w:t>lleros</w:t>
      </w:r>
      <w:r w:rsidRPr="00E50DEE">
        <w:rPr>
          <w:rFonts w:cstheme="minorHAnsi"/>
          <w:sz w:val="36"/>
          <w:szCs w:val="36"/>
        </w:rPr>
        <w:t xml:space="preserve"> en crecimiento</w:t>
      </w:r>
      <w:r w:rsidR="00421CDF" w:rsidRPr="00E50DEE">
        <w:rPr>
          <w:rFonts w:cstheme="minorHAnsi"/>
          <w:sz w:val="36"/>
          <w:szCs w:val="36"/>
        </w:rPr>
        <w:t>,</w:t>
      </w:r>
      <w:r w:rsidRPr="00E50DEE">
        <w:rPr>
          <w:rFonts w:cstheme="minorHAnsi"/>
          <w:sz w:val="36"/>
          <w:szCs w:val="36"/>
        </w:rPr>
        <w:t xml:space="preserve"> disputan la bonanza aurífera l</w:t>
      </w:r>
      <w:r w:rsidR="00421CDF" w:rsidRPr="00E50DEE">
        <w:rPr>
          <w:rFonts w:cstheme="minorHAnsi"/>
          <w:sz w:val="36"/>
          <w:szCs w:val="36"/>
        </w:rPr>
        <w:t>legan</w:t>
      </w:r>
      <w:r w:rsidR="00421CDF" w:rsidRPr="00E50DEE">
        <w:rPr>
          <w:rFonts w:cstheme="minorHAnsi"/>
          <w:sz w:val="36"/>
          <w:szCs w:val="36"/>
        </w:rPr>
        <w:softHyphen/>
        <w:t xml:space="preserve">do </w:t>
      </w:r>
      <w:r w:rsidR="003F5028" w:rsidRPr="00E50DEE">
        <w:rPr>
          <w:rFonts w:cstheme="minorHAnsi"/>
          <w:sz w:val="36"/>
          <w:szCs w:val="36"/>
        </w:rPr>
        <w:t xml:space="preserve">en casos </w:t>
      </w:r>
      <w:r w:rsidR="00421CDF" w:rsidRPr="00E50DEE">
        <w:rPr>
          <w:rFonts w:cstheme="minorHAnsi"/>
          <w:sz w:val="36"/>
          <w:szCs w:val="36"/>
        </w:rPr>
        <w:t xml:space="preserve">a tener </w:t>
      </w:r>
      <w:r w:rsidRPr="00E50DEE">
        <w:rPr>
          <w:rFonts w:cstheme="minorHAnsi"/>
          <w:sz w:val="36"/>
          <w:szCs w:val="36"/>
        </w:rPr>
        <w:t>“</w:t>
      </w:r>
      <w:r w:rsidR="00421CDF" w:rsidRPr="00E50DEE">
        <w:rPr>
          <w:rFonts w:cstheme="minorHAnsi"/>
          <w:sz w:val="36"/>
          <w:szCs w:val="36"/>
        </w:rPr>
        <w:t>participaciones notables</w:t>
      </w:r>
      <w:r w:rsidRPr="00E50DEE">
        <w:rPr>
          <w:rFonts w:cstheme="minorHAnsi"/>
          <w:sz w:val="36"/>
          <w:szCs w:val="36"/>
        </w:rPr>
        <w:t xml:space="preserve">”, </w:t>
      </w:r>
      <w:r w:rsidR="003F5028" w:rsidRPr="00E50DEE">
        <w:rPr>
          <w:rFonts w:cstheme="minorHAnsi"/>
          <w:sz w:val="36"/>
          <w:szCs w:val="36"/>
        </w:rPr>
        <w:t>que dan pie, paradójicamente, al</w:t>
      </w:r>
      <w:r w:rsidRPr="00E50DEE">
        <w:rPr>
          <w:rFonts w:cstheme="minorHAnsi"/>
          <w:sz w:val="36"/>
          <w:szCs w:val="36"/>
        </w:rPr>
        <w:t xml:space="preserve"> “</w:t>
      </w:r>
      <w:r w:rsidR="00421CDF" w:rsidRPr="00E50DEE">
        <w:rPr>
          <w:rFonts w:cstheme="minorHAnsi"/>
          <w:sz w:val="36"/>
          <w:szCs w:val="36"/>
        </w:rPr>
        <w:t xml:space="preserve">apogeo de </w:t>
      </w:r>
      <w:r w:rsidR="00421CDF" w:rsidRPr="00E50DEE">
        <w:rPr>
          <w:rFonts w:cstheme="minorHAnsi"/>
          <w:sz w:val="36"/>
          <w:szCs w:val="36"/>
        </w:rPr>
        <w:lastRenderedPageBreak/>
        <w:t>rescatistas y comerciantes</w:t>
      </w:r>
      <w:r w:rsidRPr="00E50DEE">
        <w:rPr>
          <w:rFonts w:cstheme="minorHAnsi"/>
          <w:sz w:val="36"/>
          <w:szCs w:val="36"/>
        </w:rPr>
        <w:t xml:space="preserve">” y otros </w:t>
      </w:r>
      <w:r w:rsidR="00421CDF" w:rsidRPr="00E50DEE">
        <w:rPr>
          <w:rFonts w:cstheme="minorHAnsi"/>
          <w:sz w:val="36"/>
          <w:szCs w:val="36"/>
        </w:rPr>
        <w:t>actores formales e informales que adquieren el oro</w:t>
      </w:r>
      <w:r w:rsidRPr="00E50DEE">
        <w:rPr>
          <w:rFonts w:cstheme="minorHAnsi"/>
          <w:sz w:val="36"/>
          <w:szCs w:val="36"/>
        </w:rPr>
        <w:t xml:space="preserve"> en el lugar</w:t>
      </w:r>
      <w:r w:rsidR="00421CDF" w:rsidRPr="00E50DEE">
        <w:rPr>
          <w:rFonts w:cstheme="minorHAnsi"/>
          <w:sz w:val="36"/>
          <w:szCs w:val="36"/>
        </w:rPr>
        <w:t>.</w:t>
      </w:r>
    </w:p>
    <w:p w:rsidR="00FB627F" w:rsidRPr="00E50DEE" w:rsidRDefault="00EE082C"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Empleomin</w:t>
      </w:r>
      <w:r w:rsidR="003F5028" w:rsidRPr="00E50DEE">
        <w:rPr>
          <w:rFonts w:cstheme="minorHAnsi"/>
          <w:sz w:val="36"/>
          <w:szCs w:val="36"/>
        </w:rPr>
        <w:t xml:space="preserve">, una oficina estatal, </w:t>
      </w:r>
      <w:r w:rsidRPr="00E50DEE">
        <w:rPr>
          <w:rFonts w:cstheme="minorHAnsi"/>
          <w:sz w:val="36"/>
          <w:szCs w:val="36"/>
        </w:rPr>
        <w:t xml:space="preserve"> identificó a empresas  comercializadoras mayoristas y  minoristas</w:t>
      </w:r>
      <w:r w:rsidR="00B61F85" w:rsidRPr="00E50DEE">
        <w:rPr>
          <w:rFonts w:cstheme="minorHAnsi"/>
          <w:sz w:val="36"/>
          <w:szCs w:val="36"/>
        </w:rPr>
        <w:t xml:space="preserve">. Estos </w:t>
      </w:r>
      <w:r w:rsidRPr="00E50DEE">
        <w:rPr>
          <w:rFonts w:cstheme="minorHAnsi"/>
          <w:sz w:val="36"/>
          <w:szCs w:val="36"/>
        </w:rPr>
        <w:t xml:space="preserve"> </w:t>
      </w:r>
      <w:r w:rsidR="003F5028" w:rsidRPr="00E50DEE">
        <w:rPr>
          <w:rFonts w:cstheme="minorHAnsi"/>
          <w:sz w:val="36"/>
          <w:szCs w:val="36"/>
        </w:rPr>
        <w:t xml:space="preserve">últimos </w:t>
      </w:r>
      <w:r w:rsidRPr="00E50DEE">
        <w:rPr>
          <w:rFonts w:cstheme="minorHAnsi"/>
          <w:i/>
          <w:sz w:val="36"/>
          <w:szCs w:val="36"/>
        </w:rPr>
        <w:t xml:space="preserve">rescatistas con </w:t>
      </w:r>
      <w:r w:rsidRPr="00E50DEE">
        <w:rPr>
          <w:rFonts w:cstheme="minorHAnsi"/>
          <w:sz w:val="36"/>
          <w:szCs w:val="36"/>
        </w:rPr>
        <w:t xml:space="preserve"> capacidad de negociar </w:t>
      </w:r>
      <w:r w:rsidR="003F5028" w:rsidRPr="00E50DEE">
        <w:rPr>
          <w:rFonts w:cstheme="minorHAnsi"/>
          <w:sz w:val="36"/>
          <w:szCs w:val="36"/>
        </w:rPr>
        <w:t>entre un gramo y un kilo de oro</w:t>
      </w:r>
      <w:r w:rsidRPr="00E50DEE">
        <w:rPr>
          <w:rFonts w:cstheme="minorHAnsi"/>
          <w:sz w:val="36"/>
          <w:szCs w:val="36"/>
        </w:rPr>
        <w:t xml:space="preserve"> para su</w:t>
      </w:r>
      <w:r w:rsidR="003F5028" w:rsidRPr="00E50DEE">
        <w:rPr>
          <w:rFonts w:cstheme="minorHAnsi"/>
          <w:sz w:val="36"/>
          <w:szCs w:val="36"/>
        </w:rPr>
        <w:t xml:space="preserve"> reventa, aleado o puro, </w:t>
      </w:r>
      <w:r w:rsidRPr="00E50DEE">
        <w:rPr>
          <w:rFonts w:cstheme="minorHAnsi"/>
          <w:sz w:val="36"/>
          <w:szCs w:val="36"/>
        </w:rPr>
        <w:t xml:space="preserve">al mercado de joyería, </w:t>
      </w:r>
      <w:r w:rsidR="00B61F85" w:rsidRPr="00E50DEE">
        <w:rPr>
          <w:rFonts w:cstheme="minorHAnsi"/>
          <w:sz w:val="36"/>
          <w:szCs w:val="36"/>
        </w:rPr>
        <w:t>son un canal informal de acumulación de oro</w:t>
      </w:r>
      <w:r w:rsidRPr="00E50DEE">
        <w:rPr>
          <w:rFonts w:cstheme="minorHAnsi"/>
          <w:i/>
          <w:sz w:val="36"/>
          <w:szCs w:val="36"/>
        </w:rPr>
        <w:t xml:space="preserve"> </w:t>
      </w:r>
      <w:r w:rsidRPr="00E50DEE">
        <w:rPr>
          <w:rFonts w:cstheme="minorHAnsi"/>
          <w:sz w:val="36"/>
          <w:szCs w:val="36"/>
        </w:rPr>
        <w:t>como intermediarios para la venta al Perú y Chile:</w:t>
      </w:r>
    </w:p>
    <w:p w:rsidR="003F5028" w:rsidRPr="00E50DEE" w:rsidRDefault="00EE082C"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Un mecanismo conocido de las casas que compran oro</w:t>
      </w:r>
      <w:r w:rsidR="00B61F85" w:rsidRPr="00E50DEE">
        <w:rPr>
          <w:rFonts w:cstheme="minorHAnsi"/>
          <w:sz w:val="36"/>
          <w:szCs w:val="36"/>
        </w:rPr>
        <w:t>, confirmó Nogales,</w:t>
      </w:r>
      <w:r w:rsidRPr="00E50DEE">
        <w:rPr>
          <w:rFonts w:cstheme="minorHAnsi"/>
          <w:sz w:val="36"/>
          <w:szCs w:val="36"/>
        </w:rPr>
        <w:t xml:space="preserve"> son los préstamos o </w:t>
      </w:r>
      <w:r w:rsidR="00B61F85" w:rsidRPr="00E50DEE">
        <w:rPr>
          <w:rFonts w:cstheme="minorHAnsi"/>
          <w:sz w:val="36"/>
          <w:szCs w:val="36"/>
        </w:rPr>
        <w:t>“</w:t>
      </w:r>
      <w:r w:rsidRPr="00E50DEE">
        <w:rPr>
          <w:rFonts w:cstheme="minorHAnsi"/>
          <w:sz w:val="36"/>
          <w:szCs w:val="36"/>
        </w:rPr>
        <w:t>habilito</w:t>
      </w:r>
      <w:r w:rsidR="00B61F85" w:rsidRPr="00E50DEE">
        <w:rPr>
          <w:rFonts w:cstheme="minorHAnsi"/>
          <w:sz w:val="36"/>
          <w:szCs w:val="36"/>
        </w:rPr>
        <w:t>”</w:t>
      </w:r>
      <w:r w:rsidRPr="00E50DEE">
        <w:rPr>
          <w:rFonts w:cstheme="minorHAnsi"/>
          <w:sz w:val="36"/>
          <w:szCs w:val="36"/>
        </w:rPr>
        <w:t xml:space="preserve"> </w:t>
      </w:r>
      <w:r w:rsidR="00B61F85" w:rsidRPr="00E50DEE">
        <w:rPr>
          <w:rFonts w:cstheme="minorHAnsi"/>
          <w:sz w:val="36"/>
          <w:szCs w:val="36"/>
        </w:rPr>
        <w:t xml:space="preserve">desde 10.000 hasta 200.000 dólares </w:t>
      </w:r>
      <w:r w:rsidRPr="00E50DEE">
        <w:rPr>
          <w:rFonts w:cstheme="minorHAnsi"/>
          <w:sz w:val="36"/>
          <w:szCs w:val="36"/>
        </w:rPr>
        <w:t xml:space="preserve"> como pago adelantado por </w:t>
      </w:r>
      <w:r w:rsidR="00B61F85" w:rsidRPr="00E50DEE">
        <w:rPr>
          <w:rFonts w:cstheme="minorHAnsi"/>
          <w:sz w:val="36"/>
          <w:szCs w:val="36"/>
        </w:rPr>
        <w:t>la producción.</w:t>
      </w:r>
    </w:p>
    <w:p w:rsidR="003F5028" w:rsidRPr="00E50DEE" w:rsidRDefault="00B61F85" w:rsidP="00E50DEE">
      <w:pPr>
        <w:autoSpaceDE w:val="0"/>
        <w:autoSpaceDN w:val="0"/>
        <w:adjustRightInd w:val="0"/>
        <w:spacing w:after="120" w:line="240" w:lineRule="auto"/>
        <w:jc w:val="both"/>
        <w:rPr>
          <w:rFonts w:cstheme="minorHAnsi"/>
          <w:b/>
          <w:sz w:val="36"/>
          <w:szCs w:val="36"/>
        </w:rPr>
      </w:pPr>
      <w:r w:rsidRPr="00E50DEE">
        <w:rPr>
          <w:rFonts w:cstheme="minorHAnsi"/>
          <w:b/>
          <w:sz w:val="36"/>
          <w:szCs w:val="36"/>
        </w:rPr>
        <w:t>EL CAMBIO</w:t>
      </w:r>
      <w:r w:rsidR="003F5028" w:rsidRPr="00E50DEE">
        <w:rPr>
          <w:rFonts w:cstheme="minorHAnsi"/>
          <w:b/>
          <w:sz w:val="36"/>
          <w:szCs w:val="36"/>
        </w:rPr>
        <w:t xml:space="preserve">  </w:t>
      </w:r>
    </w:p>
    <w:p w:rsidR="00EE082C" w:rsidRPr="00E50DEE" w:rsidRDefault="00B61F85"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A las transformaciones ya generadas por las operaciones auríferas, el incremento de áreas deforestadas y contaminación, el cambio e</w:t>
      </w:r>
      <w:r w:rsidR="00EE082C" w:rsidRPr="00E50DEE">
        <w:rPr>
          <w:rFonts w:cstheme="minorHAnsi"/>
          <w:sz w:val="36"/>
          <w:szCs w:val="36"/>
        </w:rPr>
        <w:t>n el en</w:t>
      </w:r>
      <w:r w:rsidR="00EE082C" w:rsidRPr="00E50DEE">
        <w:rPr>
          <w:rFonts w:cstheme="minorHAnsi"/>
          <w:sz w:val="36"/>
          <w:szCs w:val="36"/>
        </w:rPr>
        <w:softHyphen/>
        <w:t xml:space="preserve">torno ambiental </w:t>
      </w:r>
      <w:r w:rsidRPr="00E50DEE">
        <w:rPr>
          <w:rFonts w:cstheme="minorHAnsi"/>
          <w:sz w:val="36"/>
          <w:szCs w:val="36"/>
        </w:rPr>
        <w:t xml:space="preserve"> es evidente, aseguró Nogales, por </w:t>
      </w:r>
      <w:r w:rsidR="00EE082C" w:rsidRPr="00E50DEE">
        <w:rPr>
          <w:rFonts w:cstheme="minorHAnsi"/>
          <w:sz w:val="36"/>
          <w:szCs w:val="36"/>
        </w:rPr>
        <w:t>la construcción del corredor Guayaramerín-Yucumo,</w:t>
      </w:r>
      <w:r w:rsidR="003F5028" w:rsidRPr="00E50DEE">
        <w:rPr>
          <w:rFonts w:cstheme="minorHAnsi"/>
          <w:sz w:val="36"/>
          <w:szCs w:val="36"/>
        </w:rPr>
        <w:t xml:space="preserve"> </w:t>
      </w:r>
      <w:r w:rsidRPr="00E50DEE">
        <w:rPr>
          <w:rFonts w:cstheme="minorHAnsi"/>
          <w:sz w:val="36"/>
          <w:szCs w:val="36"/>
        </w:rPr>
        <w:t>según los proyectos regionales I</w:t>
      </w:r>
      <w:r w:rsidR="00EE082C" w:rsidRPr="00E50DEE">
        <w:rPr>
          <w:rFonts w:cstheme="minorHAnsi"/>
          <w:sz w:val="36"/>
          <w:szCs w:val="36"/>
        </w:rPr>
        <w:t>IRSA</w:t>
      </w:r>
      <w:r w:rsidRPr="00E50DEE">
        <w:rPr>
          <w:rFonts w:cstheme="minorHAnsi"/>
          <w:sz w:val="36"/>
          <w:szCs w:val="36"/>
        </w:rPr>
        <w:t>-CAF</w:t>
      </w:r>
      <w:r w:rsidR="00EE082C" w:rsidRPr="00E50DEE">
        <w:rPr>
          <w:rFonts w:cstheme="minorHAnsi"/>
          <w:sz w:val="36"/>
          <w:szCs w:val="36"/>
        </w:rPr>
        <w:t xml:space="preserve"> </w:t>
      </w:r>
      <w:r w:rsidRPr="00E50DEE">
        <w:rPr>
          <w:rFonts w:cstheme="minorHAnsi"/>
          <w:sz w:val="36"/>
          <w:szCs w:val="36"/>
        </w:rPr>
        <w:t xml:space="preserve"> que inciden en el aumento de </w:t>
      </w:r>
      <w:r w:rsidR="00EE082C" w:rsidRPr="00E50DEE">
        <w:rPr>
          <w:rFonts w:cstheme="minorHAnsi"/>
          <w:sz w:val="36"/>
          <w:szCs w:val="36"/>
        </w:rPr>
        <w:t>actividades agrícolas y la extracción de madera en ciertas zonas.</w:t>
      </w:r>
    </w:p>
    <w:p w:rsidR="003C2CC6" w:rsidRPr="00E50DEE" w:rsidRDefault="001607D0"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 xml:space="preserve">Tras recoger para su estudio </w:t>
      </w:r>
      <w:r w:rsidR="002B3317" w:rsidRPr="00E50DEE">
        <w:rPr>
          <w:rFonts w:cstheme="minorHAnsi"/>
          <w:sz w:val="36"/>
          <w:szCs w:val="36"/>
        </w:rPr>
        <w:t xml:space="preserve"> cifras y testi</w:t>
      </w:r>
      <w:r w:rsidRPr="00E50DEE">
        <w:rPr>
          <w:rFonts w:cstheme="minorHAnsi"/>
          <w:sz w:val="36"/>
          <w:szCs w:val="36"/>
        </w:rPr>
        <w:t>monios en la zona de explotación</w:t>
      </w:r>
      <w:r w:rsidR="002B3317" w:rsidRPr="00E50DEE">
        <w:rPr>
          <w:rFonts w:cstheme="minorHAnsi"/>
          <w:sz w:val="36"/>
          <w:szCs w:val="36"/>
        </w:rPr>
        <w:t xml:space="preserve">, dio particular énfasis a los cambios en las relaciones sociales de producción –la transición desde un sector heterogéneo hacia una producción de alto capital– y </w:t>
      </w:r>
      <w:r w:rsidR="008E2556" w:rsidRPr="00E50DEE">
        <w:rPr>
          <w:rFonts w:cstheme="minorHAnsi"/>
          <w:sz w:val="36"/>
          <w:szCs w:val="36"/>
        </w:rPr>
        <w:t>a las diversas formas de explotación en esa cuenca, estableciendo la v</w:t>
      </w:r>
      <w:r w:rsidRPr="00E50DEE">
        <w:rPr>
          <w:rFonts w:cstheme="minorHAnsi"/>
          <w:sz w:val="36"/>
          <w:szCs w:val="36"/>
        </w:rPr>
        <w:t>ariedad de segmentos de los actores</w:t>
      </w:r>
      <w:r w:rsidR="003C2CC6" w:rsidRPr="00E50DEE">
        <w:rPr>
          <w:rFonts w:cstheme="minorHAnsi"/>
          <w:sz w:val="36"/>
          <w:szCs w:val="36"/>
        </w:rPr>
        <w:t xml:space="preserve">.   </w:t>
      </w:r>
    </w:p>
    <w:p w:rsidR="003C2CC6" w:rsidRPr="00E50DEE" w:rsidRDefault="003C2CC6"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lastRenderedPageBreak/>
        <w:t xml:space="preserve">“Tomando </w:t>
      </w:r>
      <w:r w:rsidR="001607D0" w:rsidRPr="00E50DEE">
        <w:rPr>
          <w:rFonts w:cstheme="minorHAnsi"/>
          <w:sz w:val="36"/>
          <w:szCs w:val="36"/>
        </w:rPr>
        <w:t xml:space="preserve">en cuenta que </w:t>
      </w:r>
      <w:r w:rsidRPr="00E50DEE">
        <w:rPr>
          <w:rFonts w:cstheme="minorHAnsi"/>
          <w:sz w:val="36"/>
          <w:szCs w:val="36"/>
        </w:rPr>
        <w:t xml:space="preserve">los habitantes </w:t>
      </w:r>
      <w:r w:rsidR="005A0DDA" w:rsidRPr="00E50DEE">
        <w:rPr>
          <w:rFonts w:cstheme="minorHAnsi"/>
          <w:sz w:val="36"/>
          <w:szCs w:val="36"/>
        </w:rPr>
        <w:t>―</w:t>
      </w:r>
      <w:r w:rsidR="001607D0" w:rsidRPr="00E50DEE">
        <w:rPr>
          <w:rFonts w:cstheme="minorHAnsi"/>
          <w:sz w:val="36"/>
          <w:szCs w:val="36"/>
        </w:rPr>
        <w:t>no</w:t>
      </w:r>
      <w:r w:rsidRPr="00E50DEE">
        <w:rPr>
          <w:rFonts w:cstheme="minorHAnsi"/>
          <w:sz w:val="36"/>
          <w:szCs w:val="36"/>
        </w:rPr>
        <w:t xml:space="preserve"> y</w:t>
      </w:r>
      <w:r w:rsidR="001A7EB0" w:rsidRPr="00E50DEE">
        <w:rPr>
          <w:rFonts w:cstheme="minorHAnsi"/>
          <w:sz w:val="36"/>
          <w:szCs w:val="36"/>
        </w:rPr>
        <w:t>a insertos en cooperativas y em</w:t>
      </w:r>
      <w:r w:rsidRPr="00E50DEE">
        <w:rPr>
          <w:rFonts w:cstheme="minorHAnsi"/>
          <w:sz w:val="36"/>
          <w:szCs w:val="36"/>
        </w:rPr>
        <w:t>presas</w:t>
      </w:r>
      <w:r w:rsidR="005A0DDA" w:rsidRPr="00E50DEE">
        <w:rPr>
          <w:rFonts w:cstheme="minorHAnsi"/>
          <w:sz w:val="36"/>
          <w:szCs w:val="36"/>
        </w:rPr>
        <w:t>―</w:t>
      </w:r>
      <w:r w:rsidR="00272DA7" w:rsidRPr="00E50DEE">
        <w:rPr>
          <w:rFonts w:cstheme="minorHAnsi"/>
          <w:sz w:val="36"/>
          <w:szCs w:val="36"/>
        </w:rPr>
        <w:t xml:space="preserve"> realizaron</w:t>
      </w:r>
      <w:r w:rsidRPr="00E50DEE">
        <w:rPr>
          <w:rFonts w:cstheme="minorHAnsi"/>
          <w:sz w:val="36"/>
          <w:szCs w:val="36"/>
        </w:rPr>
        <w:t xml:space="preserve"> </w:t>
      </w:r>
      <w:r w:rsidR="001607D0" w:rsidRPr="00E50DEE">
        <w:rPr>
          <w:rFonts w:cstheme="minorHAnsi"/>
          <w:sz w:val="36"/>
          <w:szCs w:val="36"/>
        </w:rPr>
        <w:t>en cierto momento el</w:t>
      </w:r>
      <w:r w:rsidRPr="00E50DEE">
        <w:rPr>
          <w:rFonts w:cstheme="minorHAnsi"/>
          <w:sz w:val="36"/>
          <w:szCs w:val="36"/>
        </w:rPr>
        <w:t xml:space="preserve"> barranquilleo, se pu</w:t>
      </w:r>
      <w:r w:rsidR="000B0A19" w:rsidRPr="00E50DEE">
        <w:rPr>
          <w:rFonts w:cstheme="minorHAnsi"/>
          <w:sz w:val="36"/>
          <w:szCs w:val="36"/>
        </w:rPr>
        <w:t xml:space="preserve">ede decir que el desarrollo del </w:t>
      </w:r>
      <w:r w:rsidRPr="00E50DEE">
        <w:rPr>
          <w:rFonts w:cstheme="minorHAnsi"/>
          <w:sz w:val="36"/>
          <w:szCs w:val="36"/>
        </w:rPr>
        <w:t>capitalismo t</w:t>
      </w:r>
      <w:r w:rsidR="001A7EB0" w:rsidRPr="00E50DEE">
        <w:rPr>
          <w:rFonts w:cstheme="minorHAnsi"/>
          <w:sz w:val="36"/>
          <w:szCs w:val="36"/>
        </w:rPr>
        <w:t>rastrocó hasta los últimos espa</w:t>
      </w:r>
      <w:r w:rsidRPr="00E50DEE">
        <w:rPr>
          <w:rFonts w:cstheme="minorHAnsi"/>
          <w:sz w:val="36"/>
          <w:szCs w:val="36"/>
        </w:rPr>
        <w:t>cios de esta región rural”, concluyó.</w:t>
      </w:r>
    </w:p>
    <w:p w:rsidR="001A7EB0" w:rsidRPr="00E50DEE" w:rsidRDefault="003C2CC6"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Dotados de tecnología, “ los socios se han alejado aún más de ser productores directos, han fortalecido su perfil como propietarios privados de acciones y explotadores de mano de obra, es decir capitalistas en sentido estricto, así como reforzaron su</w:t>
      </w:r>
      <w:r w:rsidR="001A7EB0" w:rsidRPr="00E50DEE">
        <w:rPr>
          <w:rFonts w:cstheme="minorHAnsi"/>
          <w:sz w:val="36"/>
          <w:szCs w:val="36"/>
        </w:rPr>
        <w:t xml:space="preserve"> rol como vía de ingreso del ca</w:t>
      </w:r>
      <w:r w:rsidRPr="00E50DEE">
        <w:rPr>
          <w:rFonts w:cstheme="minorHAnsi"/>
          <w:sz w:val="36"/>
          <w:szCs w:val="36"/>
        </w:rPr>
        <w:t>pital privado”.</w:t>
      </w:r>
    </w:p>
    <w:p w:rsidR="003C2CC6" w:rsidRPr="00E50DEE" w:rsidRDefault="003C2CC6"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Nogales reiteró que, los cambios muestran la consolidación de fracciones capitalistas industriales y rentistas de la tierra en los socios cooperativistas, así como el incremento de obreros asalariados que genera la industria en una fase de elevada mecanización, aunque tamb</w:t>
      </w:r>
      <w:r w:rsidR="001607D0" w:rsidRPr="00E50DEE">
        <w:rPr>
          <w:rFonts w:cstheme="minorHAnsi"/>
          <w:sz w:val="36"/>
          <w:szCs w:val="36"/>
        </w:rPr>
        <w:t>ién señaló la dependencia respecto de otros</w:t>
      </w:r>
      <w:r w:rsidRPr="00E50DEE">
        <w:rPr>
          <w:rFonts w:cstheme="minorHAnsi"/>
          <w:sz w:val="36"/>
          <w:szCs w:val="36"/>
        </w:rPr>
        <w:t xml:space="preserve"> socios capitalistas </w:t>
      </w:r>
      <w:r w:rsidR="000503A3" w:rsidRPr="00E50DEE">
        <w:rPr>
          <w:rFonts w:cstheme="minorHAnsi"/>
          <w:sz w:val="36"/>
          <w:szCs w:val="36"/>
        </w:rPr>
        <w:t>más</w:t>
      </w:r>
      <w:r w:rsidR="00797F46" w:rsidRPr="00E50DEE">
        <w:rPr>
          <w:rFonts w:cstheme="minorHAnsi"/>
          <w:sz w:val="36"/>
          <w:szCs w:val="36"/>
        </w:rPr>
        <w:t xml:space="preserve"> </w:t>
      </w:r>
      <w:r w:rsidRPr="00E50DEE">
        <w:rPr>
          <w:rFonts w:cstheme="minorHAnsi"/>
          <w:sz w:val="36"/>
          <w:szCs w:val="36"/>
        </w:rPr>
        <w:t>fuertes.</w:t>
      </w:r>
    </w:p>
    <w:p w:rsidR="000B0A19" w:rsidRPr="00E50DEE" w:rsidRDefault="003C2CC6"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 xml:space="preserve">La mayor parte  tiene una participación minoritaria, 20 a 30%, sobre los beneficios que se generan por la venta del oro y ninguna </w:t>
      </w:r>
      <w:r w:rsidR="001607D0" w:rsidRPr="00E50DEE">
        <w:rPr>
          <w:rFonts w:cstheme="minorHAnsi"/>
          <w:sz w:val="36"/>
          <w:szCs w:val="36"/>
        </w:rPr>
        <w:t xml:space="preserve">cooperativa </w:t>
      </w:r>
      <w:r w:rsidRPr="00E50DEE">
        <w:rPr>
          <w:rFonts w:cstheme="minorHAnsi"/>
          <w:sz w:val="36"/>
          <w:szCs w:val="36"/>
        </w:rPr>
        <w:t>sobrepasa  el 50%</w:t>
      </w:r>
      <w:r w:rsidR="001607D0" w:rsidRPr="00E50DEE">
        <w:rPr>
          <w:rFonts w:cstheme="minorHAnsi"/>
          <w:sz w:val="36"/>
          <w:szCs w:val="36"/>
        </w:rPr>
        <w:t>.</w:t>
      </w:r>
    </w:p>
    <w:p w:rsidR="00421CDF" w:rsidRPr="00E50DEE" w:rsidRDefault="001607D0" w:rsidP="00E50DEE">
      <w:pPr>
        <w:autoSpaceDE w:val="0"/>
        <w:autoSpaceDN w:val="0"/>
        <w:adjustRightInd w:val="0"/>
        <w:spacing w:after="120" w:line="240" w:lineRule="auto"/>
        <w:jc w:val="both"/>
        <w:rPr>
          <w:rFonts w:cstheme="minorHAnsi"/>
          <w:sz w:val="36"/>
          <w:szCs w:val="36"/>
        </w:rPr>
      </w:pPr>
      <w:r w:rsidRPr="00E50DEE">
        <w:rPr>
          <w:rFonts w:cstheme="minorHAnsi"/>
          <w:sz w:val="36"/>
          <w:szCs w:val="36"/>
        </w:rPr>
        <w:t>Ello refleja que</w:t>
      </w:r>
      <w:r w:rsidR="003C2CC6" w:rsidRPr="00E50DEE">
        <w:rPr>
          <w:rFonts w:cstheme="minorHAnsi"/>
          <w:sz w:val="36"/>
          <w:szCs w:val="36"/>
        </w:rPr>
        <w:t xml:space="preserve"> a pesar del control de la tierra que detentan formalmente las cooperativas “muchas no gozan de autonomía, están subordinadas a capitales privados, o se van transformando hacia empresas”.</w:t>
      </w:r>
    </w:p>
    <w:p w:rsidR="008E2556" w:rsidRPr="00E50DEE" w:rsidRDefault="008E2556" w:rsidP="00E50DEE">
      <w:pPr>
        <w:jc w:val="both"/>
        <w:rPr>
          <w:rFonts w:cstheme="minorHAnsi"/>
          <w:sz w:val="36"/>
          <w:szCs w:val="36"/>
        </w:rPr>
      </w:pPr>
    </w:p>
    <w:sectPr w:rsidR="008E2556" w:rsidRPr="00E50DEE" w:rsidSect="00AD2C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pperplate">
    <w:altName w:val="Copperplate"/>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BC"/>
    <w:rsid w:val="000503A3"/>
    <w:rsid w:val="00090BAF"/>
    <w:rsid w:val="000B0A19"/>
    <w:rsid w:val="000C5F27"/>
    <w:rsid w:val="001607D0"/>
    <w:rsid w:val="001A7EB0"/>
    <w:rsid w:val="00204EA7"/>
    <w:rsid w:val="0020778D"/>
    <w:rsid w:val="00211828"/>
    <w:rsid w:val="002133E0"/>
    <w:rsid w:val="00215FC3"/>
    <w:rsid w:val="00216705"/>
    <w:rsid w:val="0022059B"/>
    <w:rsid w:val="00272DA7"/>
    <w:rsid w:val="002A27A9"/>
    <w:rsid w:val="002B3317"/>
    <w:rsid w:val="00394A66"/>
    <w:rsid w:val="003C2CC6"/>
    <w:rsid w:val="003F5028"/>
    <w:rsid w:val="003F56FF"/>
    <w:rsid w:val="00421CDF"/>
    <w:rsid w:val="004A4C86"/>
    <w:rsid w:val="0050769C"/>
    <w:rsid w:val="00512B94"/>
    <w:rsid w:val="005A0DDA"/>
    <w:rsid w:val="00624050"/>
    <w:rsid w:val="00637E2C"/>
    <w:rsid w:val="006A33EF"/>
    <w:rsid w:val="006C1275"/>
    <w:rsid w:val="006D07C8"/>
    <w:rsid w:val="0073529F"/>
    <w:rsid w:val="00797F46"/>
    <w:rsid w:val="007C1B40"/>
    <w:rsid w:val="007C49B6"/>
    <w:rsid w:val="007D25F4"/>
    <w:rsid w:val="007D66A3"/>
    <w:rsid w:val="00851AEB"/>
    <w:rsid w:val="008D3FCE"/>
    <w:rsid w:val="008E2556"/>
    <w:rsid w:val="009101BD"/>
    <w:rsid w:val="0099752B"/>
    <w:rsid w:val="00AD2C47"/>
    <w:rsid w:val="00B0267F"/>
    <w:rsid w:val="00B3418F"/>
    <w:rsid w:val="00B5245D"/>
    <w:rsid w:val="00B61F85"/>
    <w:rsid w:val="00B91013"/>
    <w:rsid w:val="00C701E0"/>
    <w:rsid w:val="00CC21FF"/>
    <w:rsid w:val="00CD589A"/>
    <w:rsid w:val="00CD7E60"/>
    <w:rsid w:val="00CE181F"/>
    <w:rsid w:val="00CF04FE"/>
    <w:rsid w:val="00D20C2E"/>
    <w:rsid w:val="00DA22BC"/>
    <w:rsid w:val="00DA668A"/>
    <w:rsid w:val="00DE1D6C"/>
    <w:rsid w:val="00DE2656"/>
    <w:rsid w:val="00E50DEE"/>
    <w:rsid w:val="00ED24CE"/>
    <w:rsid w:val="00EE082C"/>
    <w:rsid w:val="00EE519C"/>
    <w:rsid w:val="00FA1338"/>
    <w:rsid w:val="00FB159D"/>
    <w:rsid w:val="00FB627F"/>
    <w:rsid w:val="00FB7073"/>
    <w:rsid w:val="00FE43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2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2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67F"/>
    <w:rPr>
      <w:rFonts w:ascii="Tahoma" w:eastAsia="MS Mincho" w:hAnsi="Tahoma" w:cs="Tahoma"/>
      <w:sz w:val="16"/>
      <w:szCs w:val="16"/>
    </w:rPr>
  </w:style>
  <w:style w:type="paragraph" w:customStyle="1" w:styleId="Default">
    <w:name w:val="Default"/>
    <w:rsid w:val="007C1B40"/>
    <w:pPr>
      <w:autoSpaceDE w:val="0"/>
      <w:autoSpaceDN w:val="0"/>
      <w:adjustRightInd w:val="0"/>
      <w:spacing w:after="0" w:line="240" w:lineRule="auto"/>
    </w:pPr>
    <w:rPr>
      <w:rFonts w:ascii="Copperplate" w:eastAsia="MS Mincho" w:hAnsi="Copperplate" w:cs="Copperplat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2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2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67F"/>
    <w:rPr>
      <w:rFonts w:ascii="Tahoma" w:eastAsia="MS Mincho" w:hAnsi="Tahoma" w:cs="Tahoma"/>
      <w:sz w:val="16"/>
      <w:szCs w:val="16"/>
    </w:rPr>
  </w:style>
  <w:style w:type="paragraph" w:customStyle="1" w:styleId="Default">
    <w:name w:val="Default"/>
    <w:rsid w:val="007C1B40"/>
    <w:pPr>
      <w:autoSpaceDE w:val="0"/>
      <w:autoSpaceDN w:val="0"/>
      <w:adjustRightInd w:val="0"/>
      <w:spacing w:after="0" w:line="240" w:lineRule="auto"/>
    </w:pPr>
    <w:rPr>
      <w:rFonts w:ascii="Copperplate" w:eastAsia="MS Mincho" w:hAnsi="Copperplate" w:cs="Copperplat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5465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Chipaya</dc:creator>
  <cp:keywords/>
  <dc:description/>
  <cp:lastModifiedBy>Luffi</cp:lastModifiedBy>
  <cp:revision>2</cp:revision>
  <dcterms:created xsi:type="dcterms:W3CDTF">2015-05-28T17:31:00Z</dcterms:created>
  <dcterms:modified xsi:type="dcterms:W3CDTF">2015-05-28T17:31:00Z</dcterms:modified>
</cp:coreProperties>
</file>