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5FFC4" w14:textId="5D3985BB" w:rsidR="00A223BE" w:rsidRPr="00A223BE" w:rsidRDefault="00A223BE" w:rsidP="00A223BE">
      <w:pPr>
        <w:jc w:val="center"/>
        <w:rPr>
          <w:b/>
          <w:bCs/>
          <w:sz w:val="24"/>
          <w:szCs w:val="24"/>
        </w:rPr>
      </w:pPr>
      <w:r w:rsidRPr="00A223BE">
        <w:rPr>
          <w:b/>
          <w:bCs/>
          <w:sz w:val="24"/>
          <w:szCs w:val="24"/>
        </w:rPr>
        <w:t xml:space="preserve">Mapping of </w:t>
      </w:r>
      <w:r w:rsidR="004A14BE" w:rsidRPr="00A223BE">
        <w:rPr>
          <w:b/>
          <w:bCs/>
          <w:sz w:val="24"/>
          <w:szCs w:val="24"/>
        </w:rPr>
        <w:t xml:space="preserve">Kantara Health ID Assurance </w:t>
      </w:r>
      <w:r w:rsidRPr="00A223BE">
        <w:rPr>
          <w:b/>
          <w:bCs/>
          <w:sz w:val="24"/>
          <w:szCs w:val="24"/>
        </w:rPr>
        <w:t>WG (HIAWG) Requirements Against NSTIC Principles</w:t>
      </w:r>
      <w:r w:rsidR="0018069D">
        <w:rPr>
          <w:b/>
          <w:bCs/>
          <w:sz w:val="24"/>
          <w:szCs w:val="24"/>
        </w:rPr>
        <w:t xml:space="preserve"> WIP – Martin (1/9/20)</w:t>
      </w:r>
    </w:p>
    <w:p w14:paraId="41B90947" w14:textId="7C0D9E04" w:rsidR="0025279F" w:rsidRDefault="0025279F" w:rsidP="0025279F">
      <w:pPr>
        <w:contextualSpacing/>
      </w:pPr>
    </w:p>
    <w:tbl>
      <w:tblPr>
        <w:tblStyle w:val="TableGrid"/>
        <w:tblW w:w="14215" w:type="dxa"/>
        <w:tblLook w:val="04A0" w:firstRow="1" w:lastRow="0" w:firstColumn="1" w:lastColumn="0" w:noHBand="0" w:noVBand="1"/>
      </w:tblPr>
      <w:tblGrid>
        <w:gridCol w:w="2408"/>
        <w:gridCol w:w="716"/>
        <w:gridCol w:w="1155"/>
        <w:gridCol w:w="1170"/>
        <w:gridCol w:w="900"/>
        <w:gridCol w:w="1080"/>
        <w:gridCol w:w="1475"/>
        <w:gridCol w:w="1011"/>
        <w:gridCol w:w="797"/>
        <w:gridCol w:w="3503"/>
      </w:tblGrid>
      <w:tr w:rsidR="00B30F97" w:rsidRPr="004A14BE" w14:paraId="07DAFCED" w14:textId="77777777" w:rsidTr="00606929">
        <w:trPr>
          <w:cantSplit/>
          <w:trHeight w:val="1134"/>
        </w:trPr>
        <w:tc>
          <w:tcPr>
            <w:tcW w:w="2408" w:type="dxa"/>
            <w:noWrap/>
            <w:hideMark/>
          </w:tcPr>
          <w:p w14:paraId="36DA0EA5" w14:textId="6E20E984" w:rsidR="00230FB1" w:rsidRPr="004A14BE" w:rsidRDefault="00230FB1" w:rsidP="00D60F0F">
            <w:pPr>
              <w:jc w:val="center"/>
              <w:rPr>
                <w:b/>
                <w:bCs/>
              </w:rPr>
            </w:pPr>
          </w:p>
        </w:tc>
        <w:tc>
          <w:tcPr>
            <w:tcW w:w="716" w:type="dxa"/>
            <w:shd w:val="clear" w:color="auto" w:fill="D9D9D9" w:themeFill="background1" w:themeFillShade="D9"/>
            <w:textDirection w:val="tbRl"/>
          </w:tcPr>
          <w:p w14:paraId="76E7DD94" w14:textId="16C6B9EA" w:rsidR="00230FB1" w:rsidRPr="004A14BE" w:rsidRDefault="00B30F97" w:rsidP="00B30F97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NSTIC Principles</w:t>
            </w:r>
          </w:p>
        </w:tc>
        <w:tc>
          <w:tcPr>
            <w:tcW w:w="1155" w:type="dxa"/>
            <w:shd w:val="clear" w:color="auto" w:fill="D9D9D9" w:themeFill="background1" w:themeFillShade="D9"/>
            <w:noWrap/>
            <w:hideMark/>
          </w:tcPr>
          <w:p w14:paraId="01FC3706" w14:textId="77777777" w:rsidR="00D60F0F" w:rsidRDefault="00D60F0F" w:rsidP="00D60F0F">
            <w:pPr>
              <w:jc w:val="center"/>
              <w:rPr>
                <w:b/>
                <w:bCs/>
              </w:rPr>
            </w:pPr>
          </w:p>
          <w:p w14:paraId="6670B385" w14:textId="17931E40" w:rsidR="00230FB1" w:rsidRPr="004A14BE" w:rsidRDefault="00230FB1" w:rsidP="00D60F0F">
            <w:pPr>
              <w:jc w:val="center"/>
              <w:rPr>
                <w:b/>
                <w:bCs/>
              </w:rPr>
            </w:pPr>
            <w:r w:rsidRPr="004A14BE">
              <w:rPr>
                <w:b/>
                <w:bCs/>
              </w:rPr>
              <w:t>Privacy Enhancing</w:t>
            </w:r>
          </w:p>
        </w:tc>
        <w:tc>
          <w:tcPr>
            <w:tcW w:w="1170" w:type="dxa"/>
            <w:shd w:val="clear" w:color="auto" w:fill="D9D9D9" w:themeFill="background1" w:themeFillShade="D9"/>
            <w:hideMark/>
          </w:tcPr>
          <w:p w14:paraId="69412A0A" w14:textId="77777777" w:rsidR="00D60F0F" w:rsidRDefault="00D60F0F" w:rsidP="00D60F0F">
            <w:pPr>
              <w:jc w:val="center"/>
              <w:rPr>
                <w:b/>
                <w:bCs/>
              </w:rPr>
            </w:pPr>
          </w:p>
          <w:p w14:paraId="40B0DFBB" w14:textId="77777777" w:rsidR="00D60F0F" w:rsidRDefault="00D60F0F" w:rsidP="00D60F0F">
            <w:pPr>
              <w:jc w:val="center"/>
              <w:rPr>
                <w:b/>
                <w:bCs/>
              </w:rPr>
            </w:pPr>
          </w:p>
          <w:p w14:paraId="0CA3DE85" w14:textId="43D79661" w:rsidR="00230FB1" w:rsidRPr="004A14BE" w:rsidRDefault="00230FB1" w:rsidP="00D60F0F">
            <w:pPr>
              <w:jc w:val="center"/>
              <w:rPr>
                <w:b/>
                <w:bCs/>
              </w:rPr>
            </w:pPr>
            <w:r w:rsidRPr="004A14BE">
              <w:rPr>
                <w:b/>
                <w:bCs/>
              </w:rPr>
              <w:t>Voluntary</w:t>
            </w:r>
          </w:p>
        </w:tc>
        <w:tc>
          <w:tcPr>
            <w:tcW w:w="900" w:type="dxa"/>
            <w:shd w:val="clear" w:color="auto" w:fill="D9D9D9" w:themeFill="background1" w:themeFillShade="D9"/>
            <w:hideMark/>
          </w:tcPr>
          <w:p w14:paraId="2B8E2AE4" w14:textId="77777777" w:rsidR="00D60F0F" w:rsidRDefault="00D60F0F" w:rsidP="00D60F0F">
            <w:pPr>
              <w:jc w:val="center"/>
              <w:rPr>
                <w:b/>
                <w:bCs/>
              </w:rPr>
            </w:pPr>
          </w:p>
          <w:p w14:paraId="4B4C0FD7" w14:textId="77777777" w:rsidR="00D60F0F" w:rsidRDefault="00D60F0F" w:rsidP="00D60F0F">
            <w:pPr>
              <w:jc w:val="center"/>
              <w:rPr>
                <w:b/>
                <w:bCs/>
              </w:rPr>
            </w:pPr>
          </w:p>
          <w:p w14:paraId="059C48B2" w14:textId="5C83E744" w:rsidR="00230FB1" w:rsidRPr="004A14BE" w:rsidRDefault="00230FB1" w:rsidP="00D60F0F">
            <w:pPr>
              <w:jc w:val="center"/>
              <w:rPr>
                <w:b/>
                <w:bCs/>
              </w:rPr>
            </w:pPr>
            <w:r w:rsidRPr="004A14BE">
              <w:rPr>
                <w:b/>
                <w:bCs/>
              </w:rPr>
              <w:t>Secure</w:t>
            </w:r>
          </w:p>
        </w:tc>
        <w:tc>
          <w:tcPr>
            <w:tcW w:w="1080" w:type="dxa"/>
            <w:shd w:val="clear" w:color="auto" w:fill="D9D9D9" w:themeFill="background1" w:themeFillShade="D9"/>
            <w:hideMark/>
          </w:tcPr>
          <w:p w14:paraId="71AAD45A" w14:textId="77777777" w:rsidR="00D60F0F" w:rsidRDefault="00D60F0F" w:rsidP="00D60F0F">
            <w:pPr>
              <w:jc w:val="center"/>
              <w:rPr>
                <w:b/>
                <w:bCs/>
              </w:rPr>
            </w:pPr>
          </w:p>
          <w:p w14:paraId="250025A3" w14:textId="77777777" w:rsidR="00D60F0F" w:rsidRDefault="00D60F0F" w:rsidP="00D60F0F">
            <w:pPr>
              <w:jc w:val="center"/>
              <w:rPr>
                <w:b/>
                <w:bCs/>
              </w:rPr>
            </w:pPr>
          </w:p>
          <w:p w14:paraId="579D86DD" w14:textId="400899C6" w:rsidR="00230FB1" w:rsidRPr="004A14BE" w:rsidRDefault="00230FB1" w:rsidP="00D60F0F">
            <w:pPr>
              <w:jc w:val="center"/>
              <w:rPr>
                <w:b/>
                <w:bCs/>
              </w:rPr>
            </w:pPr>
            <w:r w:rsidRPr="004A14BE">
              <w:rPr>
                <w:b/>
                <w:bCs/>
              </w:rPr>
              <w:t>Resilient</w:t>
            </w:r>
          </w:p>
        </w:tc>
        <w:tc>
          <w:tcPr>
            <w:tcW w:w="1475" w:type="dxa"/>
            <w:shd w:val="clear" w:color="auto" w:fill="D9D9D9" w:themeFill="background1" w:themeFillShade="D9"/>
            <w:hideMark/>
          </w:tcPr>
          <w:p w14:paraId="6C3F64D9" w14:textId="77777777" w:rsidR="00D60F0F" w:rsidRDefault="00D60F0F" w:rsidP="00D60F0F">
            <w:pPr>
              <w:jc w:val="center"/>
              <w:rPr>
                <w:b/>
                <w:bCs/>
              </w:rPr>
            </w:pPr>
          </w:p>
          <w:p w14:paraId="79AF8BE0" w14:textId="77777777" w:rsidR="00AF5468" w:rsidRDefault="00AF5468" w:rsidP="00D60F0F">
            <w:pPr>
              <w:jc w:val="center"/>
              <w:rPr>
                <w:b/>
                <w:bCs/>
              </w:rPr>
            </w:pPr>
          </w:p>
          <w:p w14:paraId="514BC0F3" w14:textId="6AEF4ED1" w:rsidR="00230FB1" w:rsidRPr="004A14BE" w:rsidRDefault="00230FB1" w:rsidP="00D60F0F">
            <w:pPr>
              <w:jc w:val="center"/>
              <w:rPr>
                <w:b/>
                <w:bCs/>
              </w:rPr>
            </w:pPr>
            <w:r w:rsidRPr="004A14BE">
              <w:rPr>
                <w:b/>
                <w:bCs/>
              </w:rPr>
              <w:t>Interoperable</w:t>
            </w:r>
          </w:p>
        </w:tc>
        <w:tc>
          <w:tcPr>
            <w:tcW w:w="1011" w:type="dxa"/>
            <w:shd w:val="clear" w:color="auto" w:fill="D9D9D9" w:themeFill="background1" w:themeFillShade="D9"/>
            <w:hideMark/>
          </w:tcPr>
          <w:p w14:paraId="3FD2BAD2" w14:textId="77777777" w:rsidR="00AF5468" w:rsidRDefault="00AF5468" w:rsidP="00D60F0F">
            <w:pPr>
              <w:jc w:val="center"/>
              <w:rPr>
                <w:b/>
                <w:bCs/>
              </w:rPr>
            </w:pPr>
          </w:p>
          <w:p w14:paraId="6235FCFF" w14:textId="5E961C90" w:rsidR="00230FB1" w:rsidRPr="004A14BE" w:rsidRDefault="00230FB1" w:rsidP="00D60F0F">
            <w:pPr>
              <w:jc w:val="center"/>
              <w:rPr>
                <w:b/>
                <w:bCs/>
              </w:rPr>
            </w:pPr>
            <w:r w:rsidRPr="004A14BE">
              <w:rPr>
                <w:b/>
                <w:bCs/>
              </w:rPr>
              <w:t>Cost Effective</w:t>
            </w:r>
          </w:p>
        </w:tc>
        <w:tc>
          <w:tcPr>
            <w:tcW w:w="797" w:type="dxa"/>
            <w:shd w:val="clear" w:color="auto" w:fill="D9D9D9" w:themeFill="background1" w:themeFillShade="D9"/>
            <w:hideMark/>
          </w:tcPr>
          <w:p w14:paraId="4C37B0DB" w14:textId="64D561FE" w:rsidR="00230FB1" w:rsidRPr="004A14BE" w:rsidRDefault="00230FB1" w:rsidP="00D60F0F">
            <w:pPr>
              <w:jc w:val="center"/>
              <w:rPr>
                <w:b/>
                <w:bCs/>
              </w:rPr>
            </w:pPr>
            <w:r w:rsidRPr="004A14BE">
              <w:rPr>
                <w:b/>
                <w:bCs/>
              </w:rPr>
              <w:t>Easy</w:t>
            </w:r>
            <w:r w:rsidR="00D60F0F">
              <w:rPr>
                <w:b/>
                <w:bCs/>
              </w:rPr>
              <w:t xml:space="preserve"> </w:t>
            </w:r>
            <w:r w:rsidRPr="004A14BE">
              <w:rPr>
                <w:b/>
                <w:bCs/>
              </w:rPr>
              <w:t>To</w:t>
            </w:r>
            <w:r w:rsidR="00D60F0F">
              <w:rPr>
                <w:b/>
                <w:bCs/>
              </w:rPr>
              <w:t xml:space="preserve"> </w:t>
            </w:r>
            <w:r w:rsidRPr="004A14BE">
              <w:rPr>
                <w:b/>
                <w:bCs/>
              </w:rPr>
              <w:t>Use</w:t>
            </w:r>
          </w:p>
        </w:tc>
        <w:tc>
          <w:tcPr>
            <w:tcW w:w="3503" w:type="dxa"/>
            <w:hideMark/>
          </w:tcPr>
          <w:p w14:paraId="790AEFA2" w14:textId="77777777" w:rsidR="00D60F0F" w:rsidRDefault="00D60F0F" w:rsidP="00D60F0F">
            <w:pPr>
              <w:jc w:val="center"/>
              <w:rPr>
                <w:b/>
                <w:bCs/>
              </w:rPr>
            </w:pPr>
          </w:p>
          <w:p w14:paraId="0403B8D4" w14:textId="77777777" w:rsidR="00AF5468" w:rsidRDefault="00AF5468" w:rsidP="00D60F0F">
            <w:pPr>
              <w:jc w:val="center"/>
              <w:rPr>
                <w:b/>
                <w:bCs/>
              </w:rPr>
            </w:pPr>
          </w:p>
          <w:p w14:paraId="0F88A2D2" w14:textId="1255E375" w:rsidR="00230FB1" w:rsidRPr="004A14BE" w:rsidRDefault="00230FB1" w:rsidP="00D60F0F">
            <w:pPr>
              <w:jc w:val="center"/>
              <w:rPr>
                <w:b/>
                <w:bCs/>
              </w:rPr>
            </w:pPr>
            <w:r w:rsidRPr="004A14BE">
              <w:rPr>
                <w:b/>
                <w:bCs/>
              </w:rPr>
              <w:t>Comments</w:t>
            </w:r>
          </w:p>
        </w:tc>
      </w:tr>
      <w:tr w:rsidR="00B30F97" w:rsidRPr="004A14BE" w14:paraId="23BE35E5" w14:textId="77777777" w:rsidTr="00606929">
        <w:trPr>
          <w:trHeight w:val="125"/>
        </w:trPr>
        <w:tc>
          <w:tcPr>
            <w:tcW w:w="2408" w:type="dxa"/>
            <w:shd w:val="clear" w:color="auto" w:fill="D9D9D9" w:themeFill="background1" w:themeFillShade="D9"/>
            <w:noWrap/>
            <w:hideMark/>
          </w:tcPr>
          <w:p w14:paraId="7725D122" w14:textId="20807FE0" w:rsidR="00230FB1" w:rsidRPr="004A14BE" w:rsidRDefault="00B30F97" w:rsidP="00D60F0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HIAWG Requirements</w:t>
            </w:r>
          </w:p>
        </w:tc>
        <w:tc>
          <w:tcPr>
            <w:tcW w:w="716" w:type="dxa"/>
          </w:tcPr>
          <w:p w14:paraId="1B2ACD4C" w14:textId="77777777" w:rsidR="00230FB1" w:rsidRPr="004A14BE" w:rsidRDefault="00230FB1" w:rsidP="00D60F0F">
            <w:pPr>
              <w:jc w:val="center"/>
            </w:pPr>
          </w:p>
        </w:tc>
        <w:tc>
          <w:tcPr>
            <w:tcW w:w="1155" w:type="dxa"/>
            <w:noWrap/>
            <w:hideMark/>
          </w:tcPr>
          <w:p w14:paraId="00D4F8AC" w14:textId="71D906C7" w:rsidR="00230FB1" w:rsidRPr="004A14BE" w:rsidRDefault="00D60F0F" w:rsidP="00D60F0F">
            <w:pPr>
              <w:jc w:val="center"/>
            </w:pPr>
            <w:r>
              <w:t>1</w:t>
            </w:r>
          </w:p>
        </w:tc>
        <w:tc>
          <w:tcPr>
            <w:tcW w:w="1170" w:type="dxa"/>
            <w:noWrap/>
            <w:hideMark/>
          </w:tcPr>
          <w:p w14:paraId="05548095" w14:textId="2DE5EE4A" w:rsidR="00230FB1" w:rsidRPr="004A14BE" w:rsidRDefault="00D60F0F" w:rsidP="00D60F0F">
            <w:pPr>
              <w:jc w:val="center"/>
            </w:pPr>
            <w:r>
              <w:t>2</w:t>
            </w:r>
          </w:p>
        </w:tc>
        <w:tc>
          <w:tcPr>
            <w:tcW w:w="900" w:type="dxa"/>
            <w:noWrap/>
            <w:hideMark/>
          </w:tcPr>
          <w:p w14:paraId="15D57A0C" w14:textId="68F3593C" w:rsidR="00230FB1" w:rsidRPr="004A14BE" w:rsidRDefault="00D60F0F" w:rsidP="00D60F0F">
            <w:pPr>
              <w:jc w:val="center"/>
            </w:pPr>
            <w:r>
              <w:t>3</w:t>
            </w:r>
          </w:p>
        </w:tc>
        <w:tc>
          <w:tcPr>
            <w:tcW w:w="1080" w:type="dxa"/>
            <w:noWrap/>
            <w:hideMark/>
          </w:tcPr>
          <w:p w14:paraId="39B7D9E3" w14:textId="5AB33028" w:rsidR="00230FB1" w:rsidRPr="004A14BE" w:rsidRDefault="00D60F0F" w:rsidP="00D60F0F">
            <w:pPr>
              <w:jc w:val="center"/>
            </w:pPr>
            <w:r>
              <w:t>4</w:t>
            </w:r>
          </w:p>
        </w:tc>
        <w:tc>
          <w:tcPr>
            <w:tcW w:w="1475" w:type="dxa"/>
            <w:noWrap/>
            <w:hideMark/>
          </w:tcPr>
          <w:p w14:paraId="5D2EA486" w14:textId="274B54CF" w:rsidR="00230FB1" w:rsidRPr="004A14BE" w:rsidRDefault="00D60F0F" w:rsidP="00D60F0F">
            <w:pPr>
              <w:jc w:val="center"/>
            </w:pPr>
            <w:r>
              <w:t>5</w:t>
            </w:r>
          </w:p>
        </w:tc>
        <w:tc>
          <w:tcPr>
            <w:tcW w:w="1011" w:type="dxa"/>
            <w:noWrap/>
            <w:hideMark/>
          </w:tcPr>
          <w:p w14:paraId="616A8A89" w14:textId="100160B8" w:rsidR="00230FB1" w:rsidRPr="004A14BE" w:rsidRDefault="00D60F0F" w:rsidP="00D60F0F">
            <w:pPr>
              <w:jc w:val="center"/>
            </w:pPr>
            <w:r>
              <w:t>6</w:t>
            </w:r>
          </w:p>
        </w:tc>
        <w:tc>
          <w:tcPr>
            <w:tcW w:w="797" w:type="dxa"/>
            <w:noWrap/>
            <w:hideMark/>
          </w:tcPr>
          <w:p w14:paraId="4F518C26" w14:textId="1FE82C51" w:rsidR="00230FB1" w:rsidRPr="004A14BE" w:rsidRDefault="00D60F0F" w:rsidP="00D60F0F">
            <w:pPr>
              <w:jc w:val="center"/>
            </w:pPr>
            <w:r>
              <w:t>7</w:t>
            </w:r>
          </w:p>
        </w:tc>
        <w:tc>
          <w:tcPr>
            <w:tcW w:w="3503" w:type="dxa"/>
            <w:hideMark/>
          </w:tcPr>
          <w:p w14:paraId="067A7A9B" w14:textId="77777777" w:rsidR="00230FB1" w:rsidRPr="004A14BE" w:rsidRDefault="00230FB1" w:rsidP="00D60F0F">
            <w:pPr>
              <w:jc w:val="center"/>
            </w:pPr>
          </w:p>
        </w:tc>
      </w:tr>
      <w:tr w:rsidR="00B30F97" w:rsidRPr="004A14BE" w14:paraId="46B796BF" w14:textId="77777777" w:rsidTr="006F651D">
        <w:trPr>
          <w:trHeight w:val="300"/>
        </w:trPr>
        <w:tc>
          <w:tcPr>
            <w:tcW w:w="2408" w:type="dxa"/>
            <w:shd w:val="clear" w:color="auto" w:fill="D9D9D9" w:themeFill="background1" w:themeFillShade="D9"/>
            <w:noWrap/>
            <w:hideMark/>
          </w:tcPr>
          <w:p w14:paraId="532664C3" w14:textId="77777777" w:rsidR="00230FB1" w:rsidRPr="004A14BE" w:rsidRDefault="00230FB1">
            <w:r w:rsidRPr="004A14BE">
              <w:t>100% Accuracy ID Match</w:t>
            </w:r>
          </w:p>
        </w:tc>
        <w:tc>
          <w:tcPr>
            <w:tcW w:w="716" w:type="dxa"/>
          </w:tcPr>
          <w:p w14:paraId="6861FFD3" w14:textId="28F8DF1E" w:rsidR="00230FB1" w:rsidRPr="004A14BE" w:rsidRDefault="00D60F0F" w:rsidP="004A14BE">
            <w:r>
              <w:t>A</w:t>
            </w:r>
          </w:p>
        </w:tc>
        <w:tc>
          <w:tcPr>
            <w:tcW w:w="1155" w:type="dxa"/>
            <w:shd w:val="clear" w:color="auto" w:fill="00B050"/>
            <w:noWrap/>
            <w:hideMark/>
          </w:tcPr>
          <w:p w14:paraId="02F46D20" w14:textId="28B91344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Y-1</w:t>
            </w:r>
          </w:p>
        </w:tc>
        <w:tc>
          <w:tcPr>
            <w:tcW w:w="1170" w:type="dxa"/>
            <w:shd w:val="clear" w:color="auto" w:fill="FFFF00"/>
            <w:noWrap/>
            <w:hideMark/>
          </w:tcPr>
          <w:p w14:paraId="760B27C2" w14:textId="5F24E960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N/A</w:t>
            </w:r>
          </w:p>
        </w:tc>
        <w:tc>
          <w:tcPr>
            <w:tcW w:w="900" w:type="dxa"/>
            <w:shd w:val="clear" w:color="auto" w:fill="00B050"/>
            <w:noWrap/>
            <w:hideMark/>
          </w:tcPr>
          <w:p w14:paraId="25013418" w14:textId="2619E144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Y - 3</w:t>
            </w:r>
          </w:p>
        </w:tc>
        <w:tc>
          <w:tcPr>
            <w:tcW w:w="1080" w:type="dxa"/>
            <w:shd w:val="clear" w:color="auto" w:fill="00B050"/>
            <w:noWrap/>
            <w:hideMark/>
          </w:tcPr>
          <w:p w14:paraId="3A383571" w14:textId="77777777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Y-3</w:t>
            </w:r>
          </w:p>
        </w:tc>
        <w:tc>
          <w:tcPr>
            <w:tcW w:w="1475" w:type="dxa"/>
            <w:shd w:val="clear" w:color="auto" w:fill="00B050"/>
            <w:noWrap/>
            <w:hideMark/>
          </w:tcPr>
          <w:p w14:paraId="1966F6C9" w14:textId="77777777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Y-4</w:t>
            </w:r>
          </w:p>
        </w:tc>
        <w:tc>
          <w:tcPr>
            <w:tcW w:w="1011" w:type="dxa"/>
            <w:shd w:val="clear" w:color="auto" w:fill="FFC000"/>
            <w:noWrap/>
            <w:hideMark/>
          </w:tcPr>
          <w:p w14:paraId="1E16427B" w14:textId="4C1898C6" w:rsidR="00230FB1" w:rsidRPr="0057156D" w:rsidRDefault="0078718A" w:rsidP="00354E3D">
            <w:pPr>
              <w:jc w:val="center"/>
              <w:rPr>
                <w:b/>
                <w:bCs/>
              </w:rPr>
            </w:pPr>
            <w:r w:rsidRPr="006F651D">
              <w:rPr>
                <w:b/>
                <w:bCs/>
                <w:color w:val="000000" w:themeColor="text1"/>
              </w:rPr>
              <w:t>N-1</w:t>
            </w:r>
          </w:p>
        </w:tc>
        <w:tc>
          <w:tcPr>
            <w:tcW w:w="797" w:type="dxa"/>
            <w:shd w:val="clear" w:color="auto" w:fill="00B050"/>
            <w:noWrap/>
            <w:hideMark/>
          </w:tcPr>
          <w:p w14:paraId="57012AC5" w14:textId="77777777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Y-4</w:t>
            </w:r>
          </w:p>
        </w:tc>
        <w:tc>
          <w:tcPr>
            <w:tcW w:w="3503" w:type="dxa"/>
            <w:hideMark/>
          </w:tcPr>
          <w:p w14:paraId="62D2A959" w14:textId="2D14F9D3" w:rsidR="00230FB1" w:rsidRPr="004A14BE" w:rsidRDefault="00230FB1">
            <w:r w:rsidRPr="004A14BE">
              <w:t xml:space="preserve">Zero allowance for ID mismatched = </w:t>
            </w:r>
            <w:r w:rsidR="0078718A">
              <w:t xml:space="preserve">UNKNOWN or </w:t>
            </w:r>
            <w:r w:rsidRPr="004A14BE">
              <w:t>unlimited cost?</w:t>
            </w:r>
          </w:p>
        </w:tc>
      </w:tr>
      <w:tr w:rsidR="00B30F97" w:rsidRPr="004A14BE" w14:paraId="5DDE8B16" w14:textId="77777777" w:rsidTr="00606929">
        <w:trPr>
          <w:trHeight w:val="300"/>
        </w:trPr>
        <w:tc>
          <w:tcPr>
            <w:tcW w:w="2408" w:type="dxa"/>
            <w:shd w:val="clear" w:color="auto" w:fill="D9D9D9" w:themeFill="background1" w:themeFillShade="D9"/>
            <w:noWrap/>
            <w:hideMark/>
          </w:tcPr>
          <w:p w14:paraId="0C1EE7F2" w14:textId="77777777" w:rsidR="00230FB1" w:rsidRPr="004A14BE" w:rsidRDefault="00230FB1">
            <w:r w:rsidRPr="004A14BE">
              <w:t>"Break the Glass" policy in effect</w:t>
            </w:r>
          </w:p>
        </w:tc>
        <w:tc>
          <w:tcPr>
            <w:tcW w:w="716" w:type="dxa"/>
          </w:tcPr>
          <w:p w14:paraId="2622C1BA" w14:textId="6E944482" w:rsidR="00230FB1" w:rsidRPr="004A14BE" w:rsidRDefault="00D60F0F" w:rsidP="004A14BE">
            <w:r>
              <w:t>B</w:t>
            </w:r>
          </w:p>
        </w:tc>
        <w:tc>
          <w:tcPr>
            <w:tcW w:w="1155" w:type="dxa"/>
            <w:shd w:val="clear" w:color="auto" w:fill="FF0000"/>
            <w:noWrap/>
            <w:hideMark/>
          </w:tcPr>
          <w:p w14:paraId="18B4D821" w14:textId="49E3BBEE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N-1</w:t>
            </w:r>
          </w:p>
        </w:tc>
        <w:tc>
          <w:tcPr>
            <w:tcW w:w="1170" w:type="dxa"/>
            <w:shd w:val="clear" w:color="auto" w:fill="FF0000"/>
            <w:noWrap/>
            <w:hideMark/>
          </w:tcPr>
          <w:p w14:paraId="6CD419B7" w14:textId="40AD6537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N-1</w:t>
            </w:r>
          </w:p>
        </w:tc>
        <w:tc>
          <w:tcPr>
            <w:tcW w:w="900" w:type="dxa"/>
            <w:shd w:val="clear" w:color="auto" w:fill="FFFF00"/>
            <w:noWrap/>
            <w:hideMark/>
          </w:tcPr>
          <w:p w14:paraId="1FEB765F" w14:textId="5710BAF5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N/A</w:t>
            </w:r>
          </w:p>
        </w:tc>
        <w:tc>
          <w:tcPr>
            <w:tcW w:w="1080" w:type="dxa"/>
            <w:shd w:val="clear" w:color="auto" w:fill="FFFF00"/>
            <w:noWrap/>
            <w:hideMark/>
          </w:tcPr>
          <w:p w14:paraId="2728DBC7" w14:textId="77777777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N/A</w:t>
            </w:r>
          </w:p>
        </w:tc>
        <w:tc>
          <w:tcPr>
            <w:tcW w:w="1475" w:type="dxa"/>
            <w:shd w:val="clear" w:color="auto" w:fill="FFFF00"/>
            <w:noWrap/>
            <w:hideMark/>
          </w:tcPr>
          <w:p w14:paraId="65841CC9" w14:textId="37E129E3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N/A</w:t>
            </w:r>
          </w:p>
        </w:tc>
        <w:tc>
          <w:tcPr>
            <w:tcW w:w="1011" w:type="dxa"/>
            <w:shd w:val="clear" w:color="auto" w:fill="FFFF00"/>
            <w:noWrap/>
            <w:hideMark/>
          </w:tcPr>
          <w:p w14:paraId="18512D67" w14:textId="5410BDFC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N/A</w:t>
            </w:r>
          </w:p>
        </w:tc>
        <w:tc>
          <w:tcPr>
            <w:tcW w:w="797" w:type="dxa"/>
            <w:shd w:val="clear" w:color="auto" w:fill="00B050"/>
            <w:noWrap/>
            <w:hideMark/>
          </w:tcPr>
          <w:p w14:paraId="7D478ED9" w14:textId="21554231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Y -2</w:t>
            </w:r>
          </w:p>
        </w:tc>
        <w:tc>
          <w:tcPr>
            <w:tcW w:w="3503" w:type="dxa"/>
            <w:hideMark/>
          </w:tcPr>
          <w:p w14:paraId="3D401125" w14:textId="77777777" w:rsidR="00230FB1" w:rsidRPr="004A14BE" w:rsidRDefault="00230FB1">
            <w:r w:rsidRPr="004A14BE">
              <w:t>Access PHI in emergency without express consent</w:t>
            </w:r>
          </w:p>
        </w:tc>
      </w:tr>
      <w:tr w:rsidR="00B30F97" w:rsidRPr="004A14BE" w14:paraId="39E230CD" w14:textId="77777777" w:rsidTr="00606929">
        <w:trPr>
          <w:trHeight w:val="285"/>
        </w:trPr>
        <w:tc>
          <w:tcPr>
            <w:tcW w:w="2408" w:type="dxa"/>
            <w:shd w:val="clear" w:color="auto" w:fill="D9D9D9" w:themeFill="background1" w:themeFillShade="D9"/>
            <w:noWrap/>
            <w:hideMark/>
          </w:tcPr>
          <w:p w14:paraId="3D8AB23E" w14:textId="77777777" w:rsidR="00230FB1" w:rsidRPr="004A14BE" w:rsidRDefault="00230FB1">
            <w:r w:rsidRPr="004A14BE">
              <w:t>Relative Anonymity/Pseudonyms allowed</w:t>
            </w:r>
          </w:p>
        </w:tc>
        <w:tc>
          <w:tcPr>
            <w:tcW w:w="716" w:type="dxa"/>
          </w:tcPr>
          <w:p w14:paraId="1C0D785D" w14:textId="49151B6C" w:rsidR="00230FB1" w:rsidRPr="004A14BE" w:rsidRDefault="00D60F0F" w:rsidP="004A14BE">
            <w:r>
              <w:t>C</w:t>
            </w:r>
          </w:p>
        </w:tc>
        <w:tc>
          <w:tcPr>
            <w:tcW w:w="1155" w:type="dxa"/>
            <w:shd w:val="clear" w:color="auto" w:fill="00B050"/>
            <w:noWrap/>
            <w:hideMark/>
          </w:tcPr>
          <w:p w14:paraId="0CE4D9E8" w14:textId="5ED91CE1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Y - 5</w:t>
            </w:r>
          </w:p>
        </w:tc>
        <w:tc>
          <w:tcPr>
            <w:tcW w:w="1170" w:type="dxa"/>
            <w:shd w:val="clear" w:color="auto" w:fill="00B050"/>
            <w:noWrap/>
            <w:hideMark/>
          </w:tcPr>
          <w:p w14:paraId="4288438A" w14:textId="4A35BDBA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Y - 5</w:t>
            </w:r>
          </w:p>
        </w:tc>
        <w:tc>
          <w:tcPr>
            <w:tcW w:w="900" w:type="dxa"/>
            <w:shd w:val="clear" w:color="auto" w:fill="FF0000"/>
            <w:noWrap/>
            <w:hideMark/>
          </w:tcPr>
          <w:p w14:paraId="0093F00F" w14:textId="0ABC682F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N-1</w:t>
            </w:r>
          </w:p>
        </w:tc>
        <w:tc>
          <w:tcPr>
            <w:tcW w:w="1080" w:type="dxa"/>
            <w:shd w:val="clear" w:color="auto" w:fill="FFFF00"/>
            <w:noWrap/>
            <w:hideMark/>
          </w:tcPr>
          <w:p w14:paraId="466D2AA4" w14:textId="78F57DDB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N/A</w:t>
            </w:r>
          </w:p>
        </w:tc>
        <w:tc>
          <w:tcPr>
            <w:tcW w:w="1475" w:type="dxa"/>
            <w:shd w:val="clear" w:color="auto" w:fill="FF0000"/>
            <w:noWrap/>
            <w:hideMark/>
          </w:tcPr>
          <w:p w14:paraId="6509C273" w14:textId="7CEA2FE5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N-2</w:t>
            </w:r>
          </w:p>
        </w:tc>
        <w:tc>
          <w:tcPr>
            <w:tcW w:w="1011" w:type="dxa"/>
            <w:shd w:val="clear" w:color="auto" w:fill="FF0000"/>
            <w:noWrap/>
            <w:hideMark/>
          </w:tcPr>
          <w:p w14:paraId="42759829" w14:textId="3F3C4F6A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N-1</w:t>
            </w:r>
          </w:p>
        </w:tc>
        <w:tc>
          <w:tcPr>
            <w:tcW w:w="797" w:type="dxa"/>
            <w:shd w:val="clear" w:color="auto" w:fill="00B050"/>
            <w:noWrap/>
            <w:hideMark/>
          </w:tcPr>
          <w:p w14:paraId="345B2354" w14:textId="77777777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Y-3</w:t>
            </w:r>
          </w:p>
        </w:tc>
        <w:tc>
          <w:tcPr>
            <w:tcW w:w="3503" w:type="dxa"/>
            <w:hideMark/>
          </w:tcPr>
          <w:p w14:paraId="27671D77" w14:textId="77777777" w:rsidR="00230FB1" w:rsidRPr="004A14BE" w:rsidRDefault="00230FB1">
            <w:r w:rsidRPr="004A14BE">
              <w:t>Dependent on the Relying Party policies and the nature of the transaction</w:t>
            </w:r>
          </w:p>
        </w:tc>
      </w:tr>
      <w:tr w:rsidR="00B30F97" w:rsidRPr="004A14BE" w14:paraId="734FC0AF" w14:textId="77777777" w:rsidTr="006F651D">
        <w:trPr>
          <w:trHeight w:val="300"/>
        </w:trPr>
        <w:tc>
          <w:tcPr>
            <w:tcW w:w="2408" w:type="dxa"/>
            <w:shd w:val="clear" w:color="auto" w:fill="D9D9D9" w:themeFill="background1" w:themeFillShade="D9"/>
            <w:noWrap/>
            <w:hideMark/>
          </w:tcPr>
          <w:p w14:paraId="357708C2" w14:textId="77777777" w:rsidR="00230FB1" w:rsidRPr="004A14BE" w:rsidRDefault="00230FB1">
            <w:r w:rsidRPr="004A14BE">
              <w:t>Robust Audit Trails / Precise Time Stamp</w:t>
            </w:r>
          </w:p>
        </w:tc>
        <w:tc>
          <w:tcPr>
            <w:tcW w:w="716" w:type="dxa"/>
          </w:tcPr>
          <w:p w14:paraId="6A7A0FFB" w14:textId="49C9E32A" w:rsidR="00230FB1" w:rsidRPr="004A14BE" w:rsidRDefault="00D60F0F" w:rsidP="004A14BE">
            <w:r>
              <w:t>D</w:t>
            </w:r>
          </w:p>
        </w:tc>
        <w:tc>
          <w:tcPr>
            <w:tcW w:w="1155" w:type="dxa"/>
            <w:shd w:val="clear" w:color="auto" w:fill="00B050"/>
            <w:noWrap/>
            <w:hideMark/>
          </w:tcPr>
          <w:p w14:paraId="3297BD9D" w14:textId="07BF6CA7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Y - 3</w:t>
            </w:r>
          </w:p>
        </w:tc>
        <w:tc>
          <w:tcPr>
            <w:tcW w:w="1170" w:type="dxa"/>
            <w:shd w:val="clear" w:color="auto" w:fill="FF0000"/>
            <w:noWrap/>
            <w:hideMark/>
          </w:tcPr>
          <w:p w14:paraId="0252004A" w14:textId="55B7FFA9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N-1</w:t>
            </w:r>
          </w:p>
        </w:tc>
        <w:tc>
          <w:tcPr>
            <w:tcW w:w="900" w:type="dxa"/>
            <w:shd w:val="clear" w:color="auto" w:fill="00B050"/>
            <w:noWrap/>
            <w:hideMark/>
          </w:tcPr>
          <w:p w14:paraId="1EE1B89A" w14:textId="0ED7CAB1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Y-5</w:t>
            </w:r>
          </w:p>
        </w:tc>
        <w:tc>
          <w:tcPr>
            <w:tcW w:w="1080" w:type="dxa"/>
            <w:shd w:val="clear" w:color="auto" w:fill="00B050"/>
            <w:noWrap/>
            <w:hideMark/>
          </w:tcPr>
          <w:p w14:paraId="5473BBBF" w14:textId="0787A90B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Y-1</w:t>
            </w:r>
          </w:p>
        </w:tc>
        <w:tc>
          <w:tcPr>
            <w:tcW w:w="1475" w:type="dxa"/>
            <w:shd w:val="clear" w:color="auto" w:fill="00B050"/>
            <w:noWrap/>
            <w:hideMark/>
          </w:tcPr>
          <w:p w14:paraId="76F66A05" w14:textId="7A6CBC12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Y - 1</w:t>
            </w:r>
          </w:p>
        </w:tc>
        <w:tc>
          <w:tcPr>
            <w:tcW w:w="1011" w:type="dxa"/>
            <w:shd w:val="clear" w:color="auto" w:fill="FFFF00"/>
            <w:noWrap/>
            <w:hideMark/>
          </w:tcPr>
          <w:p w14:paraId="664E47A3" w14:textId="3877FDC5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N/A</w:t>
            </w:r>
          </w:p>
        </w:tc>
        <w:tc>
          <w:tcPr>
            <w:tcW w:w="797" w:type="dxa"/>
            <w:shd w:val="clear" w:color="auto" w:fill="FFC000"/>
            <w:noWrap/>
            <w:hideMark/>
          </w:tcPr>
          <w:p w14:paraId="641F21F0" w14:textId="50C20FEB" w:rsidR="00230FB1" w:rsidRPr="0057156D" w:rsidRDefault="0078718A" w:rsidP="00354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Y-2</w:t>
            </w:r>
          </w:p>
        </w:tc>
        <w:tc>
          <w:tcPr>
            <w:tcW w:w="3503" w:type="dxa"/>
            <w:hideMark/>
          </w:tcPr>
          <w:p w14:paraId="1965D958" w14:textId="749F11E9" w:rsidR="00230FB1" w:rsidRPr="004A14BE" w:rsidRDefault="00D60F0F">
            <w:r>
              <w:t>A</w:t>
            </w:r>
            <w:r w:rsidR="00230FB1" w:rsidRPr="004A14BE">
              <w:t>ccountability</w:t>
            </w:r>
            <w:r>
              <w:t xml:space="preserve">, </w:t>
            </w:r>
            <w:r w:rsidR="00230FB1" w:rsidRPr="004A14BE">
              <w:t>QA/QI</w:t>
            </w:r>
            <w:r w:rsidR="00A223BE">
              <w:t>.</w:t>
            </w:r>
            <w:r w:rsidR="00230FB1" w:rsidRPr="004A14BE">
              <w:t xml:space="preserve"> </w:t>
            </w:r>
            <w:r>
              <w:t>But e</w:t>
            </w:r>
            <w:r w:rsidR="00230FB1" w:rsidRPr="004A14BE">
              <w:t xml:space="preserve">asy </w:t>
            </w:r>
            <w:r w:rsidR="00230FB1" w:rsidRPr="00A223BE">
              <w:t>for whom</w:t>
            </w:r>
            <w:r w:rsidRPr="00A223BE">
              <w:t>-</w:t>
            </w:r>
            <w:r w:rsidR="00A223BE">
              <w:t>-</w:t>
            </w:r>
            <w:r w:rsidRPr="00A223BE">
              <w:t>Auditor/Security vs</w:t>
            </w:r>
            <w:r w:rsidR="00A223BE">
              <w:t>.</w:t>
            </w:r>
            <w:r w:rsidRPr="00A223BE">
              <w:t xml:space="preserve"> end user provider/patient</w:t>
            </w:r>
            <w:r w:rsidR="00A223BE" w:rsidRPr="00A223BE">
              <w:t>?</w:t>
            </w:r>
          </w:p>
        </w:tc>
      </w:tr>
      <w:tr w:rsidR="00B30F97" w:rsidRPr="004A14BE" w14:paraId="0A167E0D" w14:textId="77777777" w:rsidTr="00606929">
        <w:trPr>
          <w:trHeight w:val="285"/>
        </w:trPr>
        <w:tc>
          <w:tcPr>
            <w:tcW w:w="2408" w:type="dxa"/>
            <w:shd w:val="clear" w:color="auto" w:fill="D9D9D9" w:themeFill="background1" w:themeFillShade="D9"/>
            <w:noWrap/>
            <w:hideMark/>
          </w:tcPr>
          <w:p w14:paraId="41C19CA6" w14:textId="77777777" w:rsidR="00230FB1" w:rsidRPr="004A14BE" w:rsidRDefault="00230FB1">
            <w:r w:rsidRPr="004A14BE">
              <w:t>Patient Safety/ Liability concerns</w:t>
            </w:r>
          </w:p>
        </w:tc>
        <w:tc>
          <w:tcPr>
            <w:tcW w:w="716" w:type="dxa"/>
          </w:tcPr>
          <w:p w14:paraId="21C1A57B" w14:textId="7EC8D513" w:rsidR="00230FB1" w:rsidRPr="004A14BE" w:rsidRDefault="00D60F0F" w:rsidP="004A14BE">
            <w:r>
              <w:t>E</w:t>
            </w:r>
          </w:p>
        </w:tc>
        <w:tc>
          <w:tcPr>
            <w:tcW w:w="1155" w:type="dxa"/>
            <w:shd w:val="clear" w:color="auto" w:fill="00B050"/>
            <w:noWrap/>
            <w:hideMark/>
          </w:tcPr>
          <w:p w14:paraId="3BA360D3" w14:textId="6F523537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Y - 3</w:t>
            </w:r>
          </w:p>
        </w:tc>
        <w:tc>
          <w:tcPr>
            <w:tcW w:w="1170" w:type="dxa"/>
            <w:shd w:val="clear" w:color="auto" w:fill="00B050"/>
            <w:noWrap/>
            <w:hideMark/>
          </w:tcPr>
          <w:p w14:paraId="05C6544D" w14:textId="3FD0669B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Y-1</w:t>
            </w:r>
          </w:p>
        </w:tc>
        <w:tc>
          <w:tcPr>
            <w:tcW w:w="900" w:type="dxa"/>
            <w:shd w:val="clear" w:color="auto" w:fill="00B050"/>
            <w:noWrap/>
            <w:hideMark/>
          </w:tcPr>
          <w:p w14:paraId="249CB2B1" w14:textId="38FD2A3E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Y - 3</w:t>
            </w:r>
          </w:p>
        </w:tc>
        <w:tc>
          <w:tcPr>
            <w:tcW w:w="1080" w:type="dxa"/>
            <w:shd w:val="clear" w:color="auto" w:fill="00B050"/>
            <w:noWrap/>
            <w:hideMark/>
          </w:tcPr>
          <w:p w14:paraId="2A7FE3EE" w14:textId="634A4F82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Y-4</w:t>
            </w:r>
          </w:p>
        </w:tc>
        <w:tc>
          <w:tcPr>
            <w:tcW w:w="1475" w:type="dxa"/>
            <w:shd w:val="clear" w:color="auto" w:fill="FFFF00"/>
            <w:noWrap/>
            <w:hideMark/>
          </w:tcPr>
          <w:p w14:paraId="0757DAB6" w14:textId="34D916E7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N/A</w:t>
            </w:r>
          </w:p>
        </w:tc>
        <w:tc>
          <w:tcPr>
            <w:tcW w:w="1011" w:type="dxa"/>
            <w:shd w:val="clear" w:color="auto" w:fill="00B050"/>
            <w:noWrap/>
            <w:hideMark/>
          </w:tcPr>
          <w:p w14:paraId="506E22E7" w14:textId="07506C3F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Y-1</w:t>
            </w:r>
          </w:p>
        </w:tc>
        <w:tc>
          <w:tcPr>
            <w:tcW w:w="797" w:type="dxa"/>
            <w:shd w:val="clear" w:color="auto" w:fill="FFFF00"/>
            <w:noWrap/>
            <w:hideMark/>
          </w:tcPr>
          <w:p w14:paraId="2C3DC6E5" w14:textId="33555593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N/A</w:t>
            </w:r>
          </w:p>
        </w:tc>
        <w:tc>
          <w:tcPr>
            <w:tcW w:w="3503" w:type="dxa"/>
            <w:hideMark/>
          </w:tcPr>
          <w:p w14:paraId="590403E6" w14:textId="77777777" w:rsidR="00230FB1" w:rsidRPr="004A14BE" w:rsidRDefault="00230FB1">
            <w:r w:rsidRPr="004A14BE">
              <w:t>Mismatched ID, poor design lead to serious errors and liability</w:t>
            </w:r>
          </w:p>
        </w:tc>
      </w:tr>
      <w:tr w:rsidR="00B30F97" w:rsidRPr="004A14BE" w14:paraId="3B741672" w14:textId="77777777" w:rsidTr="00606929">
        <w:trPr>
          <w:trHeight w:val="300"/>
        </w:trPr>
        <w:tc>
          <w:tcPr>
            <w:tcW w:w="2408" w:type="dxa"/>
            <w:shd w:val="clear" w:color="auto" w:fill="D9D9D9" w:themeFill="background1" w:themeFillShade="D9"/>
            <w:noWrap/>
            <w:hideMark/>
          </w:tcPr>
          <w:p w14:paraId="1BEE76FE" w14:textId="77777777" w:rsidR="00230FB1" w:rsidRPr="004A14BE" w:rsidRDefault="00230FB1">
            <w:r w:rsidRPr="004A14BE">
              <w:t xml:space="preserve">Delegate proxy (access) easily </w:t>
            </w:r>
          </w:p>
        </w:tc>
        <w:tc>
          <w:tcPr>
            <w:tcW w:w="716" w:type="dxa"/>
          </w:tcPr>
          <w:p w14:paraId="2985E3D5" w14:textId="081DF6EF" w:rsidR="00230FB1" w:rsidRPr="004A14BE" w:rsidRDefault="00D60F0F" w:rsidP="004A14BE">
            <w:r>
              <w:t>F</w:t>
            </w:r>
          </w:p>
        </w:tc>
        <w:tc>
          <w:tcPr>
            <w:tcW w:w="1155" w:type="dxa"/>
            <w:shd w:val="clear" w:color="auto" w:fill="00B050"/>
            <w:noWrap/>
            <w:hideMark/>
          </w:tcPr>
          <w:p w14:paraId="26579F94" w14:textId="6BC0B414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Y - 2</w:t>
            </w:r>
          </w:p>
        </w:tc>
        <w:tc>
          <w:tcPr>
            <w:tcW w:w="1170" w:type="dxa"/>
            <w:shd w:val="clear" w:color="auto" w:fill="00B050"/>
            <w:noWrap/>
            <w:hideMark/>
          </w:tcPr>
          <w:p w14:paraId="0A91B82D" w14:textId="5AC94EA3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Y-3</w:t>
            </w:r>
          </w:p>
        </w:tc>
        <w:tc>
          <w:tcPr>
            <w:tcW w:w="900" w:type="dxa"/>
            <w:shd w:val="clear" w:color="auto" w:fill="00B050"/>
            <w:noWrap/>
            <w:hideMark/>
          </w:tcPr>
          <w:p w14:paraId="13534DCC" w14:textId="77DAA84A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Y-2</w:t>
            </w:r>
          </w:p>
        </w:tc>
        <w:tc>
          <w:tcPr>
            <w:tcW w:w="1080" w:type="dxa"/>
            <w:shd w:val="clear" w:color="auto" w:fill="00B050"/>
            <w:noWrap/>
            <w:hideMark/>
          </w:tcPr>
          <w:p w14:paraId="7DDC4E77" w14:textId="1A77205D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Y - 3</w:t>
            </w:r>
          </w:p>
        </w:tc>
        <w:tc>
          <w:tcPr>
            <w:tcW w:w="1475" w:type="dxa"/>
            <w:shd w:val="clear" w:color="auto" w:fill="FFFF00"/>
            <w:noWrap/>
            <w:hideMark/>
          </w:tcPr>
          <w:p w14:paraId="07BB36C0" w14:textId="67213E77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N/A</w:t>
            </w:r>
          </w:p>
        </w:tc>
        <w:tc>
          <w:tcPr>
            <w:tcW w:w="1011" w:type="dxa"/>
            <w:shd w:val="clear" w:color="auto" w:fill="FFFF00"/>
            <w:noWrap/>
            <w:hideMark/>
          </w:tcPr>
          <w:p w14:paraId="34301F9E" w14:textId="01663B4B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N/A</w:t>
            </w:r>
          </w:p>
        </w:tc>
        <w:tc>
          <w:tcPr>
            <w:tcW w:w="797" w:type="dxa"/>
            <w:shd w:val="clear" w:color="auto" w:fill="00B050"/>
            <w:noWrap/>
            <w:hideMark/>
          </w:tcPr>
          <w:p w14:paraId="3539CF42" w14:textId="49FD5A7A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Y-5</w:t>
            </w:r>
          </w:p>
        </w:tc>
        <w:tc>
          <w:tcPr>
            <w:tcW w:w="3503" w:type="dxa"/>
            <w:hideMark/>
          </w:tcPr>
          <w:p w14:paraId="05D0EF2C" w14:textId="77777777" w:rsidR="00230FB1" w:rsidRPr="004A14BE" w:rsidRDefault="00230FB1">
            <w:r w:rsidRPr="004A14BE">
              <w:t>Consistent with longstanding HIPAA rights</w:t>
            </w:r>
          </w:p>
        </w:tc>
      </w:tr>
      <w:tr w:rsidR="00B30F97" w:rsidRPr="004A14BE" w14:paraId="334C17A5" w14:textId="77777777" w:rsidTr="00606929">
        <w:trPr>
          <w:trHeight w:val="300"/>
        </w:trPr>
        <w:tc>
          <w:tcPr>
            <w:tcW w:w="2408" w:type="dxa"/>
            <w:shd w:val="clear" w:color="auto" w:fill="D9D9D9" w:themeFill="background1" w:themeFillShade="D9"/>
            <w:noWrap/>
            <w:hideMark/>
          </w:tcPr>
          <w:p w14:paraId="6F8DD460" w14:textId="77777777" w:rsidR="00230FB1" w:rsidRPr="004A14BE" w:rsidRDefault="00230FB1">
            <w:r w:rsidRPr="004A14BE">
              <w:t>Strong MFA to enhance security</w:t>
            </w:r>
          </w:p>
        </w:tc>
        <w:tc>
          <w:tcPr>
            <w:tcW w:w="716" w:type="dxa"/>
          </w:tcPr>
          <w:p w14:paraId="6D10FBC0" w14:textId="36830082" w:rsidR="00230FB1" w:rsidRPr="004A14BE" w:rsidRDefault="00D60F0F" w:rsidP="004A14BE">
            <w:r>
              <w:t>G</w:t>
            </w:r>
          </w:p>
        </w:tc>
        <w:tc>
          <w:tcPr>
            <w:tcW w:w="1155" w:type="dxa"/>
            <w:shd w:val="clear" w:color="auto" w:fill="00B050"/>
            <w:noWrap/>
            <w:hideMark/>
          </w:tcPr>
          <w:p w14:paraId="2F195339" w14:textId="10822D4F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Y-3</w:t>
            </w:r>
          </w:p>
        </w:tc>
        <w:tc>
          <w:tcPr>
            <w:tcW w:w="1170" w:type="dxa"/>
            <w:shd w:val="clear" w:color="auto" w:fill="FFFF00"/>
            <w:noWrap/>
            <w:hideMark/>
          </w:tcPr>
          <w:p w14:paraId="799A7E5B" w14:textId="1784D6F0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N/A</w:t>
            </w:r>
          </w:p>
        </w:tc>
        <w:tc>
          <w:tcPr>
            <w:tcW w:w="900" w:type="dxa"/>
            <w:shd w:val="clear" w:color="auto" w:fill="00B050"/>
            <w:noWrap/>
            <w:hideMark/>
          </w:tcPr>
          <w:p w14:paraId="36EE624B" w14:textId="5E36613E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Y - 5</w:t>
            </w:r>
          </w:p>
        </w:tc>
        <w:tc>
          <w:tcPr>
            <w:tcW w:w="1080" w:type="dxa"/>
            <w:shd w:val="clear" w:color="auto" w:fill="00B050"/>
            <w:noWrap/>
            <w:hideMark/>
          </w:tcPr>
          <w:p w14:paraId="723DAD30" w14:textId="673D803B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Y-2</w:t>
            </w:r>
          </w:p>
        </w:tc>
        <w:tc>
          <w:tcPr>
            <w:tcW w:w="1475" w:type="dxa"/>
            <w:shd w:val="clear" w:color="auto" w:fill="00B050"/>
            <w:noWrap/>
            <w:hideMark/>
          </w:tcPr>
          <w:p w14:paraId="4329F164" w14:textId="3D6D492D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Y-4</w:t>
            </w:r>
          </w:p>
        </w:tc>
        <w:tc>
          <w:tcPr>
            <w:tcW w:w="1011" w:type="dxa"/>
            <w:shd w:val="clear" w:color="auto" w:fill="00B050"/>
            <w:noWrap/>
            <w:hideMark/>
          </w:tcPr>
          <w:p w14:paraId="3B1E52FC" w14:textId="77777777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Y-2</w:t>
            </w:r>
          </w:p>
        </w:tc>
        <w:tc>
          <w:tcPr>
            <w:tcW w:w="797" w:type="dxa"/>
            <w:shd w:val="clear" w:color="auto" w:fill="FF0000"/>
            <w:noWrap/>
            <w:hideMark/>
          </w:tcPr>
          <w:p w14:paraId="1562563B" w14:textId="249D12D9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N-1</w:t>
            </w:r>
          </w:p>
        </w:tc>
        <w:tc>
          <w:tcPr>
            <w:tcW w:w="3503" w:type="dxa"/>
            <w:hideMark/>
          </w:tcPr>
          <w:p w14:paraId="7892D040" w14:textId="77777777" w:rsidR="00230FB1" w:rsidRPr="004A14BE" w:rsidRDefault="00230FB1">
            <w:r w:rsidRPr="004A14BE">
              <w:t>MFA = Multi-factor Authentication</w:t>
            </w:r>
          </w:p>
        </w:tc>
      </w:tr>
      <w:tr w:rsidR="00B30F97" w:rsidRPr="004A14BE" w14:paraId="39E0391F" w14:textId="77777777" w:rsidTr="00F74E74">
        <w:trPr>
          <w:trHeight w:val="300"/>
        </w:trPr>
        <w:tc>
          <w:tcPr>
            <w:tcW w:w="2408" w:type="dxa"/>
            <w:shd w:val="clear" w:color="auto" w:fill="FFC000"/>
            <w:noWrap/>
            <w:hideMark/>
          </w:tcPr>
          <w:p w14:paraId="0B7CA8B7" w14:textId="77777777" w:rsidR="00230FB1" w:rsidRDefault="00B26725">
            <w:pPr>
              <w:rPr>
                <w:color w:val="FF0000"/>
              </w:rPr>
            </w:pPr>
            <w:r>
              <w:rPr>
                <w:color w:val="FF0000"/>
              </w:rPr>
              <w:t>Identity Proofing</w:t>
            </w:r>
            <w:r w:rsidR="0078718A" w:rsidRPr="0078718A">
              <w:rPr>
                <w:color w:val="FF0000"/>
              </w:rPr>
              <w:t xml:space="preserve"> </w:t>
            </w:r>
            <w:r>
              <w:rPr>
                <w:color w:val="FF0000"/>
              </w:rPr>
              <w:t xml:space="preserve">(IDP) </w:t>
            </w:r>
            <w:r w:rsidR="0078718A" w:rsidRPr="0078718A">
              <w:rPr>
                <w:color w:val="FF0000"/>
              </w:rPr>
              <w:t>standard to 800-63-3</w:t>
            </w:r>
          </w:p>
          <w:p w14:paraId="0933DA1B" w14:textId="3250967D" w:rsidR="00445FB1" w:rsidRPr="004A14BE" w:rsidRDefault="00445FB1">
            <w:r>
              <w:rPr>
                <w:color w:val="FF0000"/>
              </w:rPr>
              <w:t>See Requirement #8 in the “Core Principles” of ID design</w:t>
            </w:r>
          </w:p>
        </w:tc>
        <w:tc>
          <w:tcPr>
            <w:tcW w:w="716" w:type="dxa"/>
          </w:tcPr>
          <w:p w14:paraId="1999D07F" w14:textId="5AB75584" w:rsidR="00230FB1" w:rsidRPr="004A14BE" w:rsidRDefault="00D60F0F" w:rsidP="004A14BE">
            <w:r>
              <w:t>H</w:t>
            </w:r>
          </w:p>
        </w:tc>
        <w:tc>
          <w:tcPr>
            <w:tcW w:w="1155" w:type="dxa"/>
            <w:shd w:val="clear" w:color="auto" w:fill="FFC000"/>
            <w:noWrap/>
            <w:hideMark/>
          </w:tcPr>
          <w:p w14:paraId="2542E406" w14:textId="5D4ED9C1" w:rsidR="00230FB1" w:rsidRPr="0057156D" w:rsidRDefault="00B26725" w:rsidP="00B2672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Y- ? strength</w:t>
            </w:r>
          </w:p>
        </w:tc>
        <w:tc>
          <w:tcPr>
            <w:tcW w:w="1170" w:type="dxa"/>
            <w:shd w:val="clear" w:color="auto" w:fill="FFC000"/>
            <w:noWrap/>
            <w:hideMark/>
          </w:tcPr>
          <w:p w14:paraId="3DD4D977" w14:textId="77777777" w:rsidR="00230FB1" w:rsidRDefault="00B26725" w:rsidP="00354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Probably </w:t>
            </w:r>
          </w:p>
          <w:p w14:paraId="12328616" w14:textId="3BB7B40E" w:rsidR="00B26725" w:rsidRPr="0057156D" w:rsidRDefault="00B26725" w:rsidP="00354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Y-?</w:t>
            </w:r>
          </w:p>
        </w:tc>
        <w:tc>
          <w:tcPr>
            <w:tcW w:w="900" w:type="dxa"/>
            <w:shd w:val="clear" w:color="auto" w:fill="FFC000"/>
            <w:noWrap/>
            <w:hideMark/>
          </w:tcPr>
          <w:p w14:paraId="374EAD8B" w14:textId="2FAF60D5" w:rsidR="00230FB1" w:rsidRPr="0057156D" w:rsidRDefault="00F74E74" w:rsidP="00354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?</w:t>
            </w:r>
          </w:p>
        </w:tc>
        <w:tc>
          <w:tcPr>
            <w:tcW w:w="1080" w:type="dxa"/>
            <w:shd w:val="clear" w:color="auto" w:fill="FFC000"/>
            <w:noWrap/>
            <w:hideMark/>
          </w:tcPr>
          <w:p w14:paraId="60648622" w14:textId="4BC6C6B2" w:rsidR="00230FB1" w:rsidRPr="0057156D" w:rsidRDefault="00F74E74" w:rsidP="00354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?</w:t>
            </w:r>
          </w:p>
        </w:tc>
        <w:tc>
          <w:tcPr>
            <w:tcW w:w="1475" w:type="dxa"/>
            <w:shd w:val="clear" w:color="auto" w:fill="FFC000"/>
            <w:noWrap/>
            <w:hideMark/>
          </w:tcPr>
          <w:p w14:paraId="0B7AC1FD" w14:textId="50F41368" w:rsidR="00230FB1" w:rsidRPr="0057156D" w:rsidRDefault="00F74E74" w:rsidP="00354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?</w:t>
            </w:r>
          </w:p>
        </w:tc>
        <w:tc>
          <w:tcPr>
            <w:tcW w:w="1011" w:type="dxa"/>
            <w:shd w:val="clear" w:color="auto" w:fill="FFC000"/>
            <w:noWrap/>
            <w:hideMark/>
          </w:tcPr>
          <w:p w14:paraId="7F70AF25" w14:textId="19F37694" w:rsidR="00230FB1" w:rsidRPr="0057156D" w:rsidRDefault="00F74E74" w:rsidP="00354E3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?</w:t>
            </w:r>
          </w:p>
        </w:tc>
        <w:tc>
          <w:tcPr>
            <w:tcW w:w="797" w:type="dxa"/>
            <w:shd w:val="clear" w:color="auto" w:fill="FFC000"/>
            <w:noWrap/>
            <w:hideMark/>
          </w:tcPr>
          <w:p w14:paraId="20FC0D0A" w14:textId="77777777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Y - 3</w:t>
            </w:r>
          </w:p>
        </w:tc>
        <w:tc>
          <w:tcPr>
            <w:tcW w:w="3503" w:type="dxa"/>
            <w:shd w:val="clear" w:color="auto" w:fill="FFC000"/>
            <w:hideMark/>
          </w:tcPr>
          <w:p w14:paraId="008CF002" w14:textId="30EDA169" w:rsidR="00230FB1" w:rsidRPr="004A14BE" w:rsidRDefault="00230FB1">
            <w:r w:rsidRPr="0078718A">
              <w:rPr>
                <w:color w:val="FF0000"/>
              </w:rPr>
              <w:t>To be defined</w:t>
            </w:r>
            <w:r w:rsidR="00B26725">
              <w:rPr>
                <w:color w:val="FF0000"/>
              </w:rPr>
              <w:t>:</w:t>
            </w:r>
            <w:r w:rsidRPr="0078718A">
              <w:rPr>
                <w:color w:val="FF0000"/>
              </w:rPr>
              <w:t xml:space="preserve"> </w:t>
            </w:r>
            <w:r w:rsidR="0078718A" w:rsidRPr="0078718A">
              <w:rPr>
                <w:color w:val="FF0000"/>
              </w:rPr>
              <w:t>education</w:t>
            </w:r>
            <w:r w:rsidR="00B26725">
              <w:rPr>
                <w:color w:val="FF0000"/>
              </w:rPr>
              <w:t xml:space="preserve"> of patients on the process of IDP is necessary. </w:t>
            </w:r>
            <w:r w:rsidR="00B26725" w:rsidRPr="00B26725">
              <w:rPr>
                <w:color w:val="000000" w:themeColor="text1"/>
              </w:rPr>
              <w:t>This row needs</w:t>
            </w:r>
            <w:r w:rsidR="00B26725">
              <w:rPr>
                <w:color w:val="000000" w:themeColor="text1"/>
              </w:rPr>
              <w:t xml:space="preserve"> a</w:t>
            </w:r>
            <w:r w:rsidR="00B26725" w:rsidRPr="00B26725">
              <w:rPr>
                <w:color w:val="000000" w:themeColor="text1"/>
              </w:rPr>
              <w:t xml:space="preserve"> complete reappraisal given the deletion of “Known to the practice”</w:t>
            </w:r>
          </w:p>
        </w:tc>
      </w:tr>
      <w:tr w:rsidR="00B30F97" w:rsidRPr="004A14BE" w14:paraId="7A9C231C" w14:textId="77777777" w:rsidTr="00606929">
        <w:trPr>
          <w:trHeight w:val="315"/>
        </w:trPr>
        <w:tc>
          <w:tcPr>
            <w:tcW w:w="2408" w:type="dxa"/>
            <w:shd w:val="clear" w:color="auto" w:fill="D9D9D9" w:themeFill="background1" w:themeFillShade="D9"/>
            <w:noWrap/>
            <w:hideMark/>
          </w:tcPr>
          <w:p w14:paraId="69FC1D2C" w14:textId="77777777" w:rsidR="00230FB1" w:rsidRPr="004A14BE" w:rsidRDefault="00230FB1">
            <w:r w:rsidRPr="004A14BE">
              <w:t>Resilience</w:t>
            </w:r>
          </w:p>
        </w:tc>
        <w:tc>
          <w:tcPr>
            <w:tcW w:w="716" w:type="dxa"/>
          </w:tcPr>
          <w:p w14:paraId="0545A640" w14:textId="46588989" w:rsidR="00230FB1" w:rsidRPr="004A14BE" w:rsidRDefault="00D60F0F" w:rsidP="004A14BE">
            <w:r>
              <w:t>I</w:t>
            </w:r>
          </w:p>
        </w:tc>
        <w:tc>
          <w:tcPr>
            <w:tcW w:w="1155" w:type="dxa"/>
            <w:shd w:val="clear" w:color="auto" w:fill="00B050"/>
            <w:noWrap/>
            <w:hideMark/>
          </w:tcPr>
          <w:p w14:paraId="07F80E29" w14:textId="3CE055BA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Y-4</w:t>
            </w:r>
          </w:p>
        </w:tc>
        <w:tc>
          <w:tcPr>
            <w:tcW w:w="1170" w:type="dxa"/>
            <w:shd w:val="clear" w:color="auto" w:fill="FFFF00"/>
            <w:noWrap/>
            <w:hideMark/>
          </w:tcPr>
          <w:p w14:paraId="5243E0F5" w14:textId="77777777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N/A</w:t>
            </w:r>
          </w:p>
        </w:tc>
        <w:tc>
          <w:tcPr>
            <w:tcW w:w="900" w:type="dxa"/>
            <w:shd w:val="clear" w:color="auto" w:fill="00B050"/>
            <w:noWrap/>
            <w:hideMark/>
          </w:tcPr>
          <w:p w14:paraId="1119FB56" w14:textId="77777777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Y-3</w:t>
            </w:r>
          </w:p>
        </w:tc>
        <w:tc>
          <w:tcPr>
            <w:tcW w:w="1080" w:type="dxa"/>
            <w:shd w:val="clear" w:color="auto" w:fill="00B050"/>
            <w:noWrap/>
            <w:hideMark/>
          </w:tcPr>
          <w:p w14:paraId="2CCBCE09" w14:textId="44CC5111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Y-5</w:t>
            </w:r>
          </w:p>
        </w:tc>
        <w:tc>
          <w:tcPr>
            <w:tcW w:w="1475" w:type="dxa"/>
            <w:shd w:val="clear" w:color="auto" w:fill="00B050"/>
            <w:noWrap/>
            <w:hideMark/>
          </w:tcPr>
          <w:p w14:paraId="21AC072A" w14:textId="77777777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Y-2</w:t>
            </w:r>
          </w:p>
        </w:tc>
        <w:tc>
          <w:tcPr>
            <w:tcW w:w="1011" w:type="dxa"/>
            <w:shd w:val="clear" w:color="auto" w:fill="00B050"/>
            <w:noWrap/>
            <w:hideMark/>
          </w:tcPr>
          <w:p w14:paraId="5F9B8C34" w14:textId="77777777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Y-2</w:t>
            </w:r>
          </w:p>
        </w:tc>
        <w:tc>
          <w:tcPr>
            <w:tcW w:w="797" w:type="dxa"/>
            <w:shd w:val="clear" w:color="auto" w:fill="00B050"/>
            <w:noWrap/>
            <w:hideMark/>
          </w:tcPr>
          <w:p w14:paraId="6D5E9EB3" w14:textId="77777777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Y-4</w:t>
            </w:r>
          </w:p>
        </w:tc>
        <w:tc>
          <w:tcPr>
            <w:tcW w:w="3503" w:type="dxa"/>
            <w:hideMark/>
          </w:tcPr>
          <w:p w14:paraId="61FB23E0" w14:textId="77777777" w:rsidR="00230FB1" w:rsidRPr="004A14BE" w:rsidRDefault="00230FB1">
            <w:r w:rsidRPr="004A14BE">
              <w:t xml:space="preserve">The ability “to recover and adapt to drastic and abrupt change” </w:t>
            </w:r>
          </w:p>
        </w:tc>
      </w:tr>
      <w:tr w:rsidR="00B30F97" w:rsidRPr="004A14BE" w14:paraId="607E53FE" w14:textId="77777777" w:rsidTr="00606929">
        <w:trPr>
          <w:trHeight w:val="300"/>
        </w:trPr>
        <w:tc>
          <w:tcPr>
            <w:tcW w:w="2408" w:type="dxa"/>
            <w:shd w:val="clear" w:color="auto" w:fill="D9D9D9" w:themeFill="background1" w:themeFillShade="D9"/>
            <w:noWrap/>
            <w:hideMark/>
          </w:tcPr>
          <w:p w14:paraId="52FBE819" w14:textId="77777777" w:rsidR="00230FB1" w:rsidRPr="004A14BE" w:rsidRDefault="00230FB1">
            <w:r w:rsidRPr="004A14BE">
              <w:t>Legal Redress allowed/defined</w:t>
            </w:r>
          </w:p>
        </w:tc>
        <w:tc>
          <w:tcPr>
            <w:tcW w:w="716" w:type="dxa"/>
          </w:tcPr>
          <w:p w14:paraId="2D46A90B" w14:textId="4DA12BC7" w:rsidR="00230FB1" w:rsidRPr="004A14BE" w:rsidRDefault="00D60F0F" w:rsidP="004A14BE">
            <w:r>
              <w:t>J</w:t>
            </w:r>
          </w:p>
        </w:tc>
        <w:tc>
          <w:tcPr>
            <w:tcW w:w="1155" w:type="dxa"/>
            <w:shd w:val="clear" w:color="auto" w:fill="00B050"/>
            <w:noWrap/>
            <w:hideMark/>
          </w:tcPr>
          <w:p w14:paraId="2503FBE6" w14:textId="5C07AB62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Y - 5</w:t>
            </w:r>
          </w:p>
        </w:tc>
        <w:tc>
          <w:tcPr>
            <w:tcW w:w="1170" w:type="dxa"/>
            <w:shd w:val="clear" w:color="auto" w:fill="00B050"/>
            <w:noWrap/>
            <w:hideMark/>
          </w:tcPr>
          <w:p w14:paraId="24E360DA" w14:textId="77777777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Y - 2</w:t>
            </w:r>
          </w:p>
        </w:tc>
        <w:tc>
          <w:tcPr>
            <w:tcW w:w="900" w:type="dxa"/>
            <w:shd w:val="clear" w:color="auto" w:fill="00B050"/>
            <w:noWrap/>
            <w:hideMark/>
          </w:tcPr>
          <w:p w14:paraId="42074ACF" w14:textId="77777777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Y-2</w:t>
            </w:r>
          </w:p>
        </w:tc>
        <w:tc>
          <w:tcPr>
            <w:tcW w:w="1080" w:type="dxa"/>
            <w:shd w:val="clear" w:color="auto" w:fill="00B050"/>
            <w:noWrap/>
            <w:hideMark/>
          </w:tcPr>
          <w:p w14:paraId="2CCDC935" w14:textId="77777777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Y-2</w:t>
            </w:r>
          </w:p>
        </w:tc>
        <w:tc>
          <w:tcPr>
            <w:tcW w:w="1475" w:type="dxa"/>
            <w:shd w:val="clear" w:color="auto" w:fill="FFFF00"/>
            <w:noWrap/>
            <w:hideMark/>
          </w:tcPr>
          <w:p w14:paraId="6DACC035" w14:textId="77777777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N/A</w:t>
            </w:r>
          </w:p>
        </w:tc>
        <w:tc>
          <w:tcPr>
            <w:tcW w:w="1011" w:type="dxa"/>
            <w:shd w:val="clear" w:color="auto" w:fill="00B050"/>
            <w:noWrap/>
            <w:hideMark/>
          </w:tcPr>
          <w:p w14:paraId="175695CF" w14:textId="77777777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Y - 2</w:t>
            </w:r>
          </w:p>
        </w:tc>
        <w:tc>
          <w:tcPr>
            <w:tcW w:w="797" w:type="dxa"/>
            <w:shd w:val="clear" w:color="auto" w:fill="00B050"/>
            <w:noWrap/>
            <w:hideMark/>
          </w:tcPr>
          <w:p w14:paraId="6FBDF70B" w14:textId="77777777" w:rsidR="00230FB1" w:rsidRPr="0057156D" w:rsidRDefault="00230FB1" w:rsidP="00354E3D">
            <w:pPr>
              <w:jc w:val="center"/>
              <w:rPr>
                <w:b/>
                <w:bCs/>
              </w:rPr>
            </w:pPr>
            <w:r w:rsidRPr="0057156D">
              <w:rPr>
                <w:b/>
                <w:bCs/>
              </w:rPr>
              <w:t>Y-1</w:t>
            </w:r>
          </w:p>
        </w:tc>
        <w:tc>
          <w:tcPr>
            <w:tcW w:w="3503" w:type="dxa"/>
            <w:hideMark/>
          </w:tcPr>
          <w:p w14:paraId="65BB60D2" w14:textId="77777777" w:rsidR="00230FB1" w:rsidRPr="004A14BE" w:rsidRDefault="00230FB1">
            <w:r w:rsidRPr="004A14BE">
              <w:t>To counter intentional online ID fraud/abuse</w:t>
            </w:r>
          </w:p>
        </w:tc>
      </w:tr>
    </w:tbl>
    <w:p w14:paraId="3173F59E" w14:textId="77777777" w:rsidR="0083464F" w:rsidRPr="0025279F" w:rsidRDefault="0083464F" w:rsidP="0083464F">
      <w:pPr>
        <w:contextualSpacing/>
        <w:rPr>
          <w:b/>
          <w:bCs/>
        </w:rPr>
      </w:pPr>
      <w:r w:rsidRPr="0025279F">
        <w:rPr>
          <w:b/>
          <w:bCs/>
        </w:rPr>
        <w:t xml:space="preserve">Key to cell scores: </w:t>
      </w:r>
    </w:p>
    <w:p w14:paraId="48A2731C" w14:textId="77777777" w:rsidR="0083464F" w:rsidRDefault="0083464F" w:rsidP="0083464F">
      <w:pPr>
        <w:contextualSpacing/>
      </w:pPr>
      <w:r w:rsidRPr="0025279F">
        <w:rPr>
          <w:shd w:val="clear" w:color="auto" w:fill="00B050"/>
        </w:rPr>
        <w:t>Y</w:t>
      </w:r>
      <w:r>
        <w:t xml:space="preserve"> = HIAWG Requirement consistent with or supports NSTIC principle</w:t>
      </w:r>
    </w:p>
    <w:p w14:paraId="1B26C24E" w14:textId="77777777" w:rsidR="0083464F" w:rsidRDefault="0083464F" w:rsidP="0083464F">
      <w:pPr>
        <w:contextualSpacing/>
      </w:pPr>
      <w:r w:rsidRPr="0025279F">
        <w:rPr>
          <w:shd w:val="clear" w:color="auto" w:fill="FF0000"/>
        </w:rPr>
        <w:t>N</w:t>
      </w:r>
      <w:r>
        <w:t>= HIAWG requirement inconsistent with or does not support NSTIC principle</w:t>
      </w:r>
    </w:p>
    <w:p w14:paraId="38F8E89A" w14:textId="2EA6E398" w:rsidR="0083464F" w:rsidRDefault="0083464F" w:rsidP="0083464F">
      <w:pPr>
        <w:contextualSpacing/>
      </w:pPr>
      <w:r w:rsidRPr="0083464F">
        <w:rPr>
          <w:shd w:val="clear" w:color="auto" w:fill="FFFF00"/>
        </w:rPr>
        <w:t>N/A</w:t>
      </w:r>
      <w:r>
        <w:t xml:space="preserve"> = HIAWG requirement doesn’t map to any NSTIC principle or relationship is ambiguous</w:t>
      </w:r>
    </w:p>
    <w:p w14:paraId="5375FF2E" w14:textId="006AAC42" w:rsidR="00707A9A" w:rsidRDefault="00707A9A" w:rsidP="00A95CBD">
      <w:pPr>
        <w:shd w:val="clear" w:color="auto" w:fill="FFC000"/>
        <w:contextualSpacing/>
      </w:pPr>
      <w:r>
        <w:t xml:space="preserve"> </w:t>
      </w:r>
      <w:r w:rsidR="00A35F90">
        <w:t>? IDP</w:t>
      </w:r>
      <w:r>
        <w:t>= Work in progress - unfinished</w:t>
      </w:r>
    </w:p>
    <w:p w14:paraId="5D3AF1E3" w14:textId="4000339D" w:rsidR="004A14BE" w:rsidRDefault="0083464F" w:rsidP="0083464F">
      <w:r w:rsidRPr="00A95CBD">
        <w:t>Numeric scores 1-5: strength of positive or negative relationship. 1 = weakest, 5 = strongest</w:t>
      </w:r>
    </w:p>
    <w:sectPr w:rsidR="004A14BE" w:rsidSect="0060692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4BE"/>
    <w:rsid w:val="00003A13"/>
    <w:rsid w:val="0018069D"/>
    <w:rsid w:val="00230FB1"/>
    <w:rsid w:val="0025279F"/>
    <w:rsid w:val="002935FD"/>
    <w:rsid w:val="00354E3D"/>
    <w:rsid w:val="00382B8B"/>
    <w:rsid w:val="00445FB1"/>
    <w:rsid w:val="004A14BE"/>
    <w:rsid w:val="0057156D"/>
    <w:rsid w:val="00576E39"/>
    <w:rsid w:val="005D32A7"/>
    <w:rsid w:val="00606929"/>
    <w:rsid w:val="006A788E"/>
    <w:rsid w:val="006F651D"/>
    <w:rsid w:val="00707A9A"/>
    <w:rsid w:val="0078718A"/>
    <w:rsid w:val="0083464F"/>
    <w:rsid w:val="00A223BE"/>
    <w:rsid w:val="00A35F90"/>
    <w:rsid w:val="00A95CBD"/>
    <w:rsid w:val="00AF5468"/>
    <w:rsid w:val="00B26725"/>
    <w:rsid w:val="00B30F97"/>
    <w:rsid w:val="00D60F0F"/>
    <w:rsid w:val="00E4100B"/>
    <w:rsid w:val="00E904BE"/>
    <w:rsid w:val="00EA6557"/>
    <w:rsid w:val="00F74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EDC37"/>
  <w15:chartTrackingRefBased/>
  <w15:docId w15:val="{274792F6-93C0-4A98-A71E-CA41D5FE4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14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6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Smith</dc:creator>
  <cp:keywords/>
  <dc:description/>
  <cp:lastModifiedBy>Thomas Sullivan</cp:lastModifiedBy>
  <cp:revision>2</cp:revision>
  <dcterms:created xsi:type="dcterms:W3CDTF">2022-01-20T02:45:00Z</dcterms:created>
  <dcterms:modified xsi:type="dcterms:W3CDTF">2022-01-20T02:45:00Z</dcterms:modified>
</cp:coreProperties>
</file>