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D" w:rsidRPr="00302E4D" w:rsidRDefault="00302E4D" w:rsidP="00302E4D">
      <w:pPr>
        <w:shd w:val="clear" w:color="auto" w:fill="FFFFFF"/>
        <w:spacing w:before="150" w:after="150" w:line="240" w:lineRule="auto"/>
        <w:ind w:left="-225"/>
        <w:outlineLvl w:val="1"/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</w:pP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fldChar w:fldCharType="begin"/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instrText xml:space="preserve"> HYPERLINK "https://water.gov.uz/ru" \o "</w:instrText>
      </w:r>
      <w:r w:rsidRPr="00302E4D">
        <w:rPr>
          <w:rFonts w:ascii="Roboto" w:eastAsia="Times New Roman" w:hAnsi="Roboto" w:cs="Times New Roman" w:hint="eastAsia"/>
          <w:b/>
          <w:bCs/>
          <w:color w:val="0070C0"/>
          <w:sz w:val="30"/>
          <w:szCs w:val="30"/>
          <w:lang w:eastAsia="ru-RU"/>
        </w:rPr>
        <w:instrText>ЎзРес</w:instrText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instrText xml:space="preserve"> </w:instrText>
      </w:r>
      <w:r w:rsidRPr="00302E4D">
        <w:rPr>
          <w:rFonts w:ascii="Roboto" w:eastAsia="Times New Roman" w:hAnsi="Roboto" w:cs="Times New Roman" w:hint="eastAsia"/>
          <w:b/>
          <w:bCs/>
          <w:color w:val="0070C0"/>
          <w:sz w:val="30"/>
          <w:szCs w:val="30"/>
          <w:lang w:eastAsia="ru-RU"/>
        </w:rPr>
        <w:instrText>Сув</w:instrText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instrText xml:space="preserve"> </w:instrText>
      </w:r>
      <w:r w:rsidRPr="00302E4D">
        <w:rPr>
          <w:rFonts w:ascii="Roboto" w:eastAsia="Times New Roman" w:hAnsi="Roboto" w:cs="Times New Roman" w:hint="eastAsia"/>
          <w:b/>
          <w:bCs/>
          <w:color w:val="0070C0"/>
          <w:sz w:val="30"/>
          <w:szCs w:val="30"/>
          <w:lang w:eastAsia="ru-RU"/>
        </w:rPr>
        <w:instrText>хўжалиги</w:instrText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instrText xml:space="preserve"> </w:instrText>
      </w:r>
      <w:r w:rsidRPr="00302E4D">
        <w:rPr>
          <w:rFonts w:ascii="Roboto" w:eastAsia="Times New Roman" w:hAnsi="Roboto" w:cs="Times New Roman" w:hint="eastAsia"/>
          <w:b/>
          <w:bCs/>
          <w:color w:val="0070C0"/>
          <w:sz w:val="30"/>
          <w:szCs w:val="30"/>
          <w:lang w:eastAsia="ru-RU"/>
        </w:rPr>
        <w:instrText>вазирлиги</w:instrText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instrText xml:space="preserve">" </w:instrText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fldChar w:fldCharType="separate"/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t>МИНИСТЕРСТВО ВОДНОГО ХОЗЯЙСТВА РЕСПУБЛИКИ УЗБЕКИСТАН</w:t>
      </w:r>
      <w:r w:rsidRPr="00302E4D">
        <w:rPr>
          <w:rFonts w:ascii="Roboto" w:eastAsia="Times New Roman" w:hAnsi="Roboto" w:cs="Times New Roman"/>
          <w:b/>
          <w:bCs/>
          <w:color w:val="0070C0"/>
          <w:sz w:val="30"/>
          <w:szCs w:val="30"/>
          <w:lang w:eastAsia="ru-RU"/>
        </w:rPr>
        <w:fldChar w:fldCharType="end"/>
      </w:r>
    </w:p>
    <w:p w:rsidR="00302E4D" w:rsidRPr="00302E4D" w:rsidRDefault="00302E4D" w:rsidP="00302E4D">
      <w:pPr>
        <w:shd w:val="clear" w:color="auto" w:fill="F5F5F5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bookmarkStart w:id="0" w:name="_GoBack"/>
      <w:r w:rsidRPr="00302E4D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«ВОДНАЯ ДИПЛОМАТИЯ» В ЦЕНТРАЛЬНОЙ АЗИИ</w:t>
      </w:r>
    </w:p>
    <w:bookmarkEnd w:id="0"/>
    <w:p w:rsidR="00302E4D" w:rsidRPr="00302E4D" w:rsidRDefault="00302E4D" w:rsidP="0030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4D" w:rsidRPr="00302E4D" w:rsidRDefault="00302E4D" w:rsidP="00302E4D">
      <w:pPr>
        <w:shd w:val="clear" w:color="auto" w:fill="F5F5F5"/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shd w:val="clear" w:color="auto" w:fill="337AB7"/>
          <w:lang w:eastAsia="ru-RU"/>
        </w:rPr>
        <w:t xml:space="preserve">24.11.2022              </w:t>
      </w:r>
      <w:r w:rsidRPr="00302E4D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shd w:val="clear" w:color="auto" w:fill="337AB7"/>
          <w:lang w:eastAsia="ru-RU"/>
        </w:rPr>
        <w:t>https://water.gov.uz/ru/posts/1545735855/2768</w:t>
      </w:r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02E4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302E4D"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6D29005" wp14:editId="56EBCA2F">
            <wp:extent cx="5741581" cy="3824432"/>
            <wp:effectExtent l="0" t="0" r="0" b="5080"/>
            <wp:docPr id="1" name="Рисунок 1" descr="https://water.gov.uz/ru/downloads?type=post&amp;id=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ter.gov.uz/ru/downloads?type=post&amp;id=2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83" cy="38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302E4D" w:rsidRPr="00302E4D" w:rsidRDefault="00302E4D" w:rsidP="00302E4D">
      <w:pPr>
        <w:shd w:val="clear" w:color="auto" w:fill="F5F5F5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02E4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«ВОДНАЯ ДИПЛОМАТИЯ» В ЦЕНТРАЛЬНОЙ АЗИИ</w:t>
      </w:r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02E4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E4D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Основной успех внешней политики Узбекистана представляет собой кардинальную</w:t>
      </w:r>
      <w:r w:rsidRPr="00302E4D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br/>
        <w:t>реформу в регионе Центральной Азии - формирование дружественных взаимоотношений</w:t>
      </w:r>
      <w:r w:rsidRPr="00302E4D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br/>
        <w:t> Казахстаном, Кыргызстаном, Таджикистаном и Туркменистаном.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E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302E4D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302E4D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Ш.М.Мирзиёев</w:t>
      </w:r>
      <w:proofErr w:type="spellEnd"/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2E4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земледелия, орошения сельскохозяйственных культур, строительства наземных и надземных ирригационных сооружений формировался и осваивался тысячелетиями во всем Центрально-Азиатском регионе. Наши предки не растрачивали ни одной капли воды, рационально использовали ее и жили гармоничной и благоприятной жизнью у побережья водоемов.  Они контролировали русла рек и ручьев, рыли каналы и добывали воду, высаживали различные культуры, обустраивали поселения. По этой причине вода издавна была одним из самых важных ценностей для мира и </w:t>
      </w: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благосостояния народов Центральной Азии, и 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сохраняет эту ценность по сей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02E4D"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4405471" wp14:editId="02F440E8">
            <wp:extent cx="5773479" cy="3848985"/>
            <wp:effectExtent l="0" t="0" r="0" b="0"/>
            <wp:docPr id="2" name="Рисунок 2" descr="https://water.gov.uz/public/photos/1/637f0d2698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ater.gov.uz/public/photos/1/637f0d26989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81" cy="38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21 столетии при достижении человечеством высочайшего уровня развития, потребность в воде постоянно возрастает. При этом и водные пути, и водные ресурсы всех республик Центрально-Азиатского региона тесно взаимосвязаны, поэтому невозможно не вести "водную дипломатию" с соседними странами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рассматривать бассейн Сырдарьи, то вода из Республики Кыргызстан поступает по многочисленным ручьям, таким как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Норин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Сох,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Окбурасой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Аравонсой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Майлисой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Шохимардонсой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Исфайрамсой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Узбекистана вода на территорию Кыргызстана поступает через Водозаборные каналы 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Правобережный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Савай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Южная Фергана и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Каркидон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 Таджикистан подается по Большому Ферганскому и Северо-Ферганскому каналам. При этом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Таджикистан вода поступает через каналы Большая Фергана и Северная Фергана. В то же время в период вегетации из реки Сырдарья через территорию Узбекистана в водохранилище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Бахри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Таджик" в Таджикистане поступает в среднем 300 м3 /с воды. В связи с этим из водохранилища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Бахри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Таджик" сбрасывается в среднем 500-550 м3 /с воды.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02E4D"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77DBF7D" wp14:editId="1E27E00D">
            <wp:extent cx="5730949" cy="3820633"/>
            <wp:effectExtent l="0" t="0" r="3175" b="8890"/>
            <wp:docPr id="3" name="Рисунок 3" descr="https://water.gov.uz/public/photos/1/637f0d27b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ter.gov.uz/public/photos/1/637f0d27b49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49" cy="38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вода из водохранилища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Бахри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Таджик" подается на пахотные поля Согдийской области Таджикистана через насосные станции и канал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Юкори-Дальварзин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Кроме того, спускаемой из данного водохранилища водой орошается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Бекабадский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Ташкентской области Узбекистана через каналы "Нижний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Дальварзин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и "Бекабад"; Джизакская и Сырдарьинская области орошаются через каналы "Южный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Мирзачол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Достлик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"; пахотные земли на территории районов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Еттисой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Махтараль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Туркестанской области Казахстана орошаются каналом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Достлик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этих, вода, сбрасываемая из водохранилища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Чорвок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по каналам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Хонум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Катта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Келес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используется для орошения посевных площадей районов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Сарыогоч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Казгурд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Келес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Туркестанской области Казахстана и посевных площадей районов Ташкент,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Зангиота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Кибрай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Чиназ Ташкентской области.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водохранилища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Чордара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Казахстане также есть возможность поставлять воду в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Арнасойское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водохранилище в Узбекистане. 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реки Амударья вода забирается через каскад насосных станций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Аму-Занг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в Сурхандарьинской области, " Магистральный канал Карши" в Кашкадарьинской области и насосную станцию "Машинный канал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-Бухара" в Бухарской области. В свою очередь, по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Каршинскому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магистральному каналу вода подается на территорию Туркменистана. Следует отметить, что шесть насосных станций каскада насосных станций магистрального канала Карши находятся на территории Туркменистана, и узбекские водники пользуются этими насосными станциями, пересекая границу. 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Туркменистан забирает воду из Амударьи на свою территорию через канал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Каракум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каналы, а также через небольшие насосные станции.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Водохранилище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Туямоин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снабжающее водой Хорезмскую область Узбекистана, Республику Каракалпакстан и область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Дошховуз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Туркменистана, образовано на приграничных территориях двух стран. Вода из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Туямоинского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водохранилища в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Дашховузскую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 поступает по магистральным каналам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Туркмендарья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"Левобережный" и по каналам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Ханяп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Джумабой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Сока",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Киличниязбой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Кипчок-Бозсув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через нижнюю часть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Туямоинского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гидроузла с левого берега Амударьи.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с территории Таджикистана берет начало один из основных притоков Сурхандарьи,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Каратогдарья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через несколько каналов, таких как «Жончекка-1», «Жончекка-2», «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Хатыб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Шодмонказак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Даюб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вода забирается с территории соседнего государства в Сурхандарьинскую область.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в результате улучшения отношений между двумя странами дополнительная вода поступает из реки Варзоб в Таджикистане в Южно-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Сурханское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водохранилище через Большой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Гиссарский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канал.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данные подтверждают, что «водная дипломатия» имеет чрезвычайно важное и стратегическое значение в отношениях между странами нашего региона.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Признаться честно, в нашей недавней истории, то есть за последние пару десятилетий до 2017 года, регион сталкивался с проблемами совместного использования водных ресурсов. Целесообразная политика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Мирзиёева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Узбекистане после его избрания Президентом, дружеские и надежные отношения с руководителями соседних стран создали прочную основу для совместного использования трансграничных водных ресурсов в Центрально-Азиатском регионе.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15 марта 2018 года Президент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Шавкат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Мирзиёев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первой Совместной консультативной встрече лидеров стран Центральной Азии в городе Астана отметил, что решение всех жизненно важных вопросов развития Узбекистана, имеющего общую границу со всеми республиками региона, начиная от охраны границы и заканчивая рациональным распределением водных ресурсов, напрямую связано с отношениями с соседними странами.</w:t>
      </w:r>
      <w:proofErr w:type="gramEnd"/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 ноября 2019 года Президент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Шавкат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Мирзиёев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своем выступлении на второй консультативной встрече лидеров стран Центральной Азии, состоявшейся в городе Ташкенте, внес предложение о выработке взаимосогласованных подходов к решению проблем водопользования.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конференциях лидеров стран Центральной Азии, а также в ходе визитов Президента Узбекистана в соседние страны на высшем уровне рассматриваются вопросы совместного рационального использования </w:t>
      </w: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трансграничных водных ресурсов, решаются многолетние нерешенные проблемы.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Узбекистан последовательно развивает отношения со странами Центральной Азии по водным вопросам как на многостороннем уровне - в рамках Международного фонда спасения Аральского моря и Межгосударственной координационной водохозяйственной комиссии, так и на двустороннем уровне - в рамках межправительственных рабочих групп по использованию водных ресурсов. В результате взаимного сотрудничества и соглашений, достигнутых в последние годы с Казахстаном, Таджикистаном, Кыргызской Республикой и Туркменистаном, достигнуты успехи в улучшении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водообеспеченности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бассейнов Сырдарьи и Амударьи.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в рамках трехстороннего соглашения между Министерством водного хозяйства Узбекистана, Министерством экологии, геологии и природных ресурсов Казахстана и Министерством энергетики и водных ресурсов Таджикистана об использовании водохранилища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Бахри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Тачик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июне-августе 2022 года, а также в рамках взаимного сотрудничества республики Узбекистан, Казахстан и Кыргызстан подписали соглашение об обмене электроэнергией для выпуска дополнительной воды для орошения земель из водохранилища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Тохтагул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Узбекистан проявляет инициативу среди стран Центральной Азии по внедрению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водосберегающих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и расширению возможностей использования современных технологий в управлении водными ресурсами с целью снижения дефицита воды.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Узбекистане при личной поддержке Президента Ш.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Мирзиёева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благодаря субсидиям и льготам, созданным Правительством, система, эффективно функционирующая в предыдущие годы, последовательно продолжает оправдывать надежды на проведение работ по внедрению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водосберегающих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 На сегодняшний день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водосберегающие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орошения внедрены на площади 904,4 тыс. га, а их охват достиг 24% орошаемых площадей.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это действительно является правдой, что оборудование и компоненты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водосберегающей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орошения в основном импортировались из зарубежных стран. По этой причине, также придается большое значение для сокращения импорта и увеличения количества предприятий местного производства с целью удовлетворения внутреннего спроса.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до 2019 года количество таких местных предприятий было всего 3 в Узбекистане, то сейчас оно достигло 46. За счет локализации производства этими предприятиями себестоимость продукции снижена с 25 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сумов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 млн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сумов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гектар, экономятся валютные средства, затраченные на импорт. При этом была создана возможность экспорта в соседние республики.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302E4D"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B287F51" wp14:editId="7BA9049D">
            <wp:extent cx="5816009" cy="3877339"/>
            <wp:effectExtent l="0" t="0" r="0" b="8890"/>
            <wp:docPr id="4" name="Рисунок 4" descr="https://water.gov.uz/public/photos/1/637f0d281b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ter.gov.uz/public/photos/1/637f0d281b4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09" cy="38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 Стратегия управления водными ресурсами и развития сектора ирригации в Республике Узбекистан на 2021 — 2023 годы и Концепция водного хозяйства на 2020-2030 годы в целях повышения эффективности использования земельных и водных ресурсов, стабильной водоснабжении населения и всех отраслей экономики Узбекистана, улучшения мелиорации орошаемых земель, широкого внедрения рыночных принципов и механизмов и цифровых технологий в водное хозяйство, обеспечения надежной работы объектов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водного хозяйства.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данных документов Минводхозом принимаются меры по эффективному управлению водными ресурсами, внедрению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водосберегающих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цифровых технологий, ирригационно-мелиоративным работам, лазерной планировке земель, своевременному проведению агротехнических мероприятий.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за прошедший период 2022 года было сэкономлено 6,5 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м3 воды, в том числе 5,5 млрд м3 в сезон орошения. Именно за счет внедрения </w:t>
      </w:r>
      <w:proofErr w:type="spell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водосберегающих</w:t>
      </w:r>
      <w:proofErr w:type="spell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и лазерного выравнивания земель было сэкономлено 2,0 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м3 воды.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водного хозяйства в республиках Центральной Азии часто встречаются и регулярно общаются. Среди водников нет нации, часто употребляется фраза «водники — единый народ, единая нация».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вправду, независимо от Республики, в которой они служат, специалистов водного хозяйства объединяют такие благородные дела, как обеспечение водой населения и отраслей экономики, служение благосостоянию страны.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Специалисты водного хозяйства Центрально-Азиатского региона преследуя благородную </w:t>
      </w:r>
      <w:proofErr w:type="gramStart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proofErr w:type="gramEnd"/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трудятся над достижением благородной цели рационального использования трансграничных речных вод, эффективного управления водными ресурсами и сокращения дефицита воды в регионе и добросовестно выполняют свои благородные обязанности.</w:t>
      </w:r>
    </w:p>
    <w:p w:rsidR="00302E4D" w:rsidRPr="00302E4D" w:rsidRDefault="00302E4D" w:rsidP="00302E4D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2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Шухрат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02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Суюнов</w:t>
      </w:r>
      <w:proofErr w:type="spellEnd"/>
      <w:r w:rsidRPr="00302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302E4D" w:rsidRPr="00302E4D" w:rsidRDefault="00302E4D" w:rsidP="00302E4D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Информационной службы Министерства водного хозяйства Республики Узбекистан.</w:t>
      </w:r>
    </w:p>
    <w:p w:rsidR="00B9675B" w:rsidRPr="00302E4D" w:rsidRDefault="00B9675B">
      <w:pPr>
        <w:rPr>
          <w:rFonts w:ascii="Times New Roman" w:hAnsi="Times New Roman" w:cs="Times New Roman"/>
          <w:sz w:val="28"/>
          <w:szCs w:val="28"/>
        </w:rPr>
      </w:pPr>
    </w:p>
    <w:sectPr w:rsidR="00B9675B" w:rsidRPr="0030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6E"/>
    <w:rsid w:val="00302E4D"/>
    <w:rsid w:val="00B9675B"/>
    <w:rsid w:val="00D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7" w:color="0000FF"/>
            <w:right w:val="none" w:sz="0" w:space="0" w:color="auto"/>
          </w:divBdr>
          <w:divsChild>
            <w:div w:id="1145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50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1966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1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6061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2022-12-01T18:21:00Z</dcterms:created>
  <dcterms:modified xsi:type="dcterms:W3CDTF">2022-12-01T18:28:00Z</dcterms:modified>
</cp:coreProperties>
</file>