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C4" w:rsidRPr="00D834AB" w:rsidRDefault="008C04C4" w:rsidP="008C04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D834AB">
        <w:rPr>
          <w:rFonts w:ascii="Times New Roman" w:hAnsi="Times New Roman" w:cs="Times New Roman"/>
          <w:b/>
        </w:rPr>
        <w:t>Необходимо принимать решение по затопленным в Арктических морях ядерным объектам</w:t>
      </w:r>
    </w:p>
    <w:p w:rsidR="008C04C4" w:rsidRDefault="008C04C4" w:rsidP="008C04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D834AB">
        <w:rPr>
          <w:rFonts w:ascii="Times New Roman" w:hAnsi="Times New Roman" w:cs="Times New Roman"/>
          <w:b/>
        </w:rPr>
        <w:t>Затопленные в Арктических морях объекты с ОЯТ и РАО находятся в непосредственной близости к перспективным площадкам для нефти и газодобычи. Однако до сих пор нет решения о радиационной реабилитации морских акваторий от потенциально опасных объектов с ОЯТ и РАО, нет соответствующей концепции, не определено ведомство, которое возьмет на себя ответственность за такие проекты.</w:t>
      </w:r>
    </w:p>
    <w:p w:rsidR="00742D3A" w:rsidRDefault="00742D3A" w:rsidP="008C04C4">
      <w:pPr>
        <w:widowControl w:val="0"/>
        <w:autoSpaceDE w:val="0"/>
        <w:autoSpaceDN w:val="0"/>
        <w:adjustRightInd w:val="0"/>
        <w:spacing w:after="240"/>
      </w:pPr>
      <w:hyperlink r:id="rId5" w:history="1">
        <w:r>
          <w:rPr>
            <w:rStyle w:val="a8"/>
          </w:rPr>
          <w:t xml:space="preserve">Анна Киреева, </w:t>
        </w:r>
      </w:hyperlink>
      <w:r>
        <w:t xml:space="preserve">23/09-2014 </w:t>
      </w:r>
      <w:hyperlink r:id="rId6" w:history="1">
        <w:r w:rsidRPr="00CA6000">
          <w:rPr>
            <w:rStyle w:val="a8"/>
          </w:rPr>
          <w:t>http://bellona.ru/articles_ru/articles_2014/1411476660.87</w:t>
        </w:r>
      </w:hyperlink>
    </w:p>
    <w:p w:rsidR="008C04C4" w:rsidRDefault="008C04C4" w:rsidP="008C04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данным Института безопасного развития атомной энергетики (ИБРАЭ), </w:t>
      </w:r>
      <w:r w:rsidRPr="00F672A8">
        <w:rPr>
          <w:rFonts w:ascii="Times New Roman" w:hAnsi="Times New Roman" w:cs="Times New Roman"/>
        </w:rPr>
        <w:t>интерес к обеспечению  радиоэкологической безопасности</w:t>
      </w:r>
      <w:r>
        <w:rPr>
          <w:rFonts w:ascii="Times New Roman" w:hAnsi="Times New Roman" w:cs="Times New Roman"/>
        </w:rPr>
        <w:t>,</w:t>
      </w:r>
      <w:r w:rsidRPr="00F672A8">
        <w:rPr>
          <w:rFonts w:ascii="Times New Roman" w:hAnsi="Times New Roman" w:cs="Times New Roman"/>
        </w:rPr>
        <w:t xml:space="preserve">  в частности</w:t>
      </w:r>
      <w:r>
        <w:rPr>
          <w:rFonts w:ascii="Times New Roman" w:hAnsi="Times New Roman" w:cs="Times New Roman"/>
        </w:rPr>
        <w:t>, к</w:t>
      </w:r>
      <w:r w:rsidRPr="00F672A8">
        <w:rPr>
          <w:rFonts w:ascii="Times New Roman" w:hAnsi="Times New Roman" w:cs="Times New Roman"/>
        </w:rPr>
        <w:t xml:space="preserve"> открытой части Карского моря</w:t>
      </w:r>
      <w:r>
        <w:rPr>
          <w:rFonts w:ascii="Times New Roman" w:hAnsi="Times New Roman" w:cs="Times New Roman"/>
        </w:rPr>
        <w:t>,</w:t>
      </w:r>
      <w:r w:rsidRPr="00F672A8">
        <w:rPr>
          <w:rFonts w:ascii="Times New Roman" w:hAnsi="Times New Roman" w:cs="Times New Roman"/>
        </w:rPr>
        <w:t xml:space="preserve"> определяется расширяющимися возможностями освоения нефтегазовых месторождений в центральной его части, где на удалении </w:t>
      </w:r>
      <w:r>
        <w:rPr>
          <w:rFonts w:ascii="Times New Roman" w:hAnsi="Times New Roman" w:cs="Times New Roman"/>
        </w:rPr>
        <w:t xml:space="preserve">от </w:t>
      </w:r>
      <w:r w:rsidRPr="00F672A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до</w:t>
      </w:r>
      <w:r w:rsidRPr="00F672A8">
        <w:rPr>
          <w:rFonts w:ascii="Times New Roman" w:hAnsi="Times New Roman" w:cs="Times New Roman"/>
        </w:rPr>
        <w:t xml:space="preserve">100 км от участков разведки и последующей добычи находятся объекты с </w:t>
      </w:r>
      <w:r>
        <w:rPr>
          <w:rFonts w:ascii="Times New Roman" w:hAnsi="Times New Roman" w:cs="Times New Roman"/>
        </w:rPr>
        <w:t>отработавшим ядерным топливо (</w:t>
      </w:r>
      <w:r w:rsidRPr="00F672A8">
        <w:rPr>
          <w:rFonts w:ascii="Times New Roman" w:hAnsi="Times New Roman" w:cs="Times New Roman"/>
        </w:rPr>
        <w:t>ОЯТ</w:t>
      </w:r>
      <w:r>
        <w:rPr>
          <w:rFonts w:ascii="Times New Roman" w:hAnsi="Times New Roman" w:cs="Times New Roman"/>
        </w:rPr>
        <w:t>)</w:t>
      </w:r>
      <w:r w:rsidRPr="00F672A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твердыми радиоактивными отходами (</w:t>
      </w:r>
      <w:r w:rsidRPr="00F672A8">
        <w:rPr>
          <w:rFonts w:ascii="Times New Roman" w:hAnsi="Times New Roman" w:cs="Times New Roman"/>
        </w:rPr>
        <w:t>ТРО</w:t>
      </w:r>
      <w:r>
        <w:rPr>
          <w:rFonts w:ascii="Times New Roman" w:hAnsi="Times New Roman" w:cs="Times New Roman"/>
        </w:rPr>
        <w:t>)</w:t>
      </w:r>
      <w:r w:rsidRPr="00F672A8">
        <w:rPr>
          <w:rFonts w:ascii="Times New Roman" w:hAnsi="Times New Roman" w:cs="Times New Roman"/>
        </w:rPr>
        <w:t>, а отдельные из них попадают</w:t>
      </w:r>
      <w:proofErr w:type="gramEnd"/>
      <w:r w:rsidRPr="00F672A8">
        <w:rPr>
          <w:rFonts w:ascii="Times New Roman" w:hAnsi="Times New Roman" w:cs="Times New Roman"/>
        </w:rPr>
        <w:t xml:space="preserve"> внутрь этих участков</w:t>
      </w:r>
      <w:r>
        <w:rPr>
          <w:rFonts w:ascii="Times New Roman" w:hAnsi="Times New Roman" w:cs="Times New Roman"/>
        </w:rPr>
        <w:t>.</w:t>
      </w:r>
    </w:p>
    <w:p w:rsidR="008C04C4" w:rsidRPr="00D20AFF" w:rsidRDefault="008C04C4" w:rsidP="008C04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D20AFF">
        <w:rPr>
          <w:rFonts w:ascii="Times New Roman" w:hAnsi="Times New Roman" w:cs="Times New Roman"/>
          <w:b/>
        </w:rPr>
        <w:t xml:space="preserve">Суда с ТРО </w:t>
      </w:r>
    </w:p>
    <w:p w:rsidR="008C04C4" w:rsidRPr="00F672A8" w:rsidRDefault="008C04C4" w:rsidP="008C04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в </w:t>
      </w:r>
      <w:proofErr w:type="spellStart"/>
      <w:r>
        <w:rPr>
          <w:rFonts w:ascii="Times New Roman" w:hAnsi="Times New Roman" w:cs="Times New Roman"/>
        </w:rPr>
        <w:t>Новоземельской</w:t>
      </w:r>
      <w:proofErr w:type="spellEnd"/>
      <w:r>
        <w:rPr>
          <w:rFonts w:ascii="Times New Roman" w:hAnsi="Times New Roman" w:cs="Times New Roman"/>
        </w:rPr>
        <w:t xml:space="preserve"> впадине (Карское море) вблизи районов нефтедобычи на глубине до 300 метров захоронено пять судов с ТРО: «Леопард», «Могилев», «Хосе </w:t>
      </w:r>
      <w:proofErr w:type="spellStart"/>
      <w:r>
        <w:rPr>
          <w:rFonts w:ascii="Times New Roman" w:hAnsi="Times New Roman" w:cs="Times New Roman"/>
        </w:rPr>
        <w:t>Диас</w:t>
      </w:r>
      <w:proofErr w:type="spellEnd"/>
      <w:r>
        <w:rPr>
          <w:rFonts w:ascii="Times New Roman" w:hAnsi="Times New Roman" w:cs="Times New Roman"/>
        </w:rPr>
        <w:t>», «Саяны», «</w:t>
      </w:r>
      <w:proofErr w:type="spellStart"/>
      <w:r>
        <w:rPr>
          <w:rFonts w:ascii="Times New Roman" w:hAnsi="Times New Roman" w:cs="Times New Roman"/>
        </w:rPr>
        <w:t>Курейка</w:t>
      </w:r>
      <w:proofErr w:type="spellEnd"/>
      <w:r>
        <w:rPr>
          <w:rFonts w:ascii="Times New Roman" w:hAnsi="Times New Roman" w:cs="Times New Roman"/>
        </w:rPr>
        <w:t>», а также реактор АПЛ с ОЯТ (заказ 421).</w:t>
      </w:r>
    </w:p>
    <w:p w:rsidR="008C04C4" w:rsidRDefault="008C04C4" w:rsidP="008C04C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старшего научного сотрудника ИБРАЭ Валерия </w:t>
      </w:r>
      <w:proofErr w:type="spellStart"/>
      <w:r>
        <w:rPr>
          <w:rFonts w:ascii="Times New Roman" w:hAnsi="Times New Roman" w:cs="Times New Roman"/>
        </w:rPr>
        <w:t>Осминова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672A8">
        <w:rPr>
          <w:rFonts w:ascii="Times New Roman" w:hAnsi="Times New Roman" w:cs="Times New Roman"/>
        </w:rPr>
        <w:t xml:space="preserve">в период до 2040 гг. потеряют конструктивную устойчивость тонкостенные внешние оболочки </w:t>
      </w:r>
      <w:r>
        <w:rPr>
          <w:rFonts w:ascii="Times New Roman" w:hAnsi="Times New Roman" w:cs="Times New Roman"/>
        </w:rPr>
        <w:t>реакторных отсеков</w:t>
      </w:r>
      <w:r w:rsidRPr="00F672A8">
        <w:rPr>
          <w:rFonts w:ascii="Times New Roman" w:hAnsi="Times New Roman" w:cs="Times New Roman"/>
        </w:rPr>
        <w:t xml:space="preserve">, а также аналогичные им корпуса барж и понтонов с ТРО. В этот же период времени морская вода станет попадать внутрь </w:t>
      </w:r>
      <w:r>
        <w:rPr>
          <w:rFonts w:ascii="Times New Roman" w:hAnsi="Times New Roman" w:cs="Times New Roman"/>
        </w:rPr>
        <w:t>реакторных отсеков</w:t>
      </w:r>
      <w:r w:rsidRPr="00F672A8">
        <w:rPr>
          <w:rFonts w:ascii="Times New Roman" w:hAnsi="Times New Roman" w:cs="Times New Roman"/>
        </w:rPr>
        <w:t xml:space="preserve"> в результате образования микроотверстий через торцевые переборки</w:t>
      </w:r>
      <w:r>
        <w:rPr>
          <w:rFonts w:ascii="Times New Roman" w:hAnsi="Times New Roman" w:cs="Times New Roman"/>
        </w:rPr>
        <w:t>,</w:t>
      </w:r>
      <w:r w:rsidRPr="00F672A8">
        <w:rPr>
          <w:rFonts w:ascii="Times New Roman" w:hAnsi="Times New Roman" w:cs="Times New Roman"/>
        </w:rPr>
        <w:t xml:space="preserve"> и начнется коррозия внешн</w:t>
      </w:r>
      <w:r>
        <w:rPr>
          <w:rFonts w:ascii="Times New Roman" w:hAnsi="Times New Roman" w:cs="Times New Roman"/>
        </w:rPr>
        <w:t>их</w:t>
      </w:r>
      <w:r w:rsidRPr="00F672A8">
        <w:rPr>
          <w:rFonts w:ascii="Times New Roman" w:hAnsi="Times New Roman" w:cs="Times New Roman"/>
        </w:rPr>
        <w:t xml:space="preserve"> поверхност</w:t>
      </w:r>
      <w:r>
        <w:rPr>
          <w:rFonts w:ascii="Times New Roman" w:hAnsi="Times New Roman" w:cs="Times New Roman"/>
        </w:rPr>
        <w:t>ей</w:t>
      </w:r>
      <w:r w:rsidRPr="00F6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ядерных энергетических установок (ЯЭУ)</w:t>
      </w:r>
      <w:r w:rsidRPr="00F672A8">
        <w:rPr>
          <w:rFonts w:ascii="Times New Roman" w:hAnsi="Times New Roman" w:cs="Times New Roman"/>
        </w:rPr>
        <w:t>.</w:t>
      </w:r>
    </w:p>
    <w:p w:rsidR="008C04C4" w:rsidRDefault="008C04C4" w:rsidP="008C04C4">
      <w:pPr>
        <w:spacing w:before="120"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«П</w:t>
      </w:r>
      <w:r w:rsidRPr="00F672A8">
        <w:rPr>
          <w:rFonts w:ascii="Times New Roman" w:hAnsi="Times New Roman" w:cs="Times New Roman"/>
        </w:rPr>
        <w:t>оступление радионуклидов за пределы затопленных судов с ТРО можно ожидать в 2020-2030 гг., а интенсивный выход начнется в 2060-2080 гг. и завершится в 2100-2150 гг. Следовательно, по необходимости поднимать их целесообразно не позднее 2030-50 гг</w:t>
      </w:r>
      <w:r>
        <w:rPr>
          <w:rFonts w:ascii="Times New Roman" w:hAnsi="Times New Roman" w:cs="Times New Roman"/>
        </w:rPr>
        <w:t xml:space="preserve">.» - рассказал </w:t>
      </w:r>
      <w:proofErr w:type="spellStart"/>
      <w:r>
        <w:rPr>
          <w:rFonts w:ascii="Times New Roman" w:hAnsi="Times New Roman" w:cs="Times New Roman"/>
        </w:rPr>
        <w:t>Осминов</w:t>
      </w:r>
      <w:proofErr w:type="spellEnd"/>
      <w:r>
        <w:rPr>
          <w:rFonts w:ascii="Times New Roman" w:hAnsi="Times New Roman" w:cs="Times New Roman"/>
        </w:rPr>
        <w:t xml:space="preserve"> на Круглом столе об обеспечении ядерной и радиационной безопасности в Арктике в рамках 10-го Северного социально-экологического конгресса в Архангельске</w:t>
      </w:r>
      <w:r w:rsidRPr="00F672A8">
        <w:rPr>
          <w:rFonts w:ascii="Times New Roman" w:hAnsi="Times New Roman" w:cs="Times New Roman"/>
        </w:rPr>
        <w:t>.</w:t>
      </w:r>
      <w:proofErr w:type="gramEnd"/>
    </w:p>
    <w:p w:rsidR="008C04C4" w:rsidRPr="00F672A8" w:rsidRDefault="008C04C4" w:rsidP="008C04C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672A8">
        <w:rPr>
          <w:rFonts w:ascii="Times New Roman" w:hAnsi="Times New Roman" w:cs="Times New Roman"/>
        </w:rPr>
        <w:t xml:space="preserve">Подъем возможен в течение нескольких столетий. В 2080-2160 гг. торцевые переборки </w:t>
      </w:r>
      <w:r>
        <w:rPr>
          <w:rFonts w:ascii="Times New Roman" w:hAnsi="Times New Roman" w:cs="Times New Roman"/>
        </w:rPr>
        <w:t>реакторных отсеков</w:t>
      </w:r>
      <w:r w:rsidRPr="00F672A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толщиной </w:t>
      </w:r>
      <w:r w:rsidRPr="00F672A8">
        <w:rPr>
          <w:rFonts w:ascii="Times New Roman" w:hAnsi="Times New Roman" w:cs="Times New Roman"/>
        </w:rPr>
        <w:t>10 мм) существенно разрушатся</w:t>
      </w:r>
      <w:r>
        <w:rPr>
          <w:rFonts w:ascii="Times New Roman" w:hAnsi="Times New Roman" w:cs="Times New Roman"/>
        </w:rPr>
        <w:t>,</w:t>
      </w:r>
      <w:r w:rsidRPr="00F672A8">
        <w:rPr>
          <w:rFonts w:ascii="Times New Roman" w:hAnsi="Times New Roman" w:cs="Times New Roman"/>
        </w:rPr>
        <w:t xml:space="preserve"> и морская вода будет свободно омывать </w:t>
      </w:r>
      <w:r>
        <w:rPr>
          <w:rFonts w:ascii="Times New Roman" w:hAnsi="Times New Roman" w:cs="Times New Roman"/>
        </w:rPr>
        <w:t>ядерные энергетические установки</w:t>
      </w:r>
      <w:r w:rsidRPr="00F672A8">
        <w:rPr>
          <w:rFonts w:ascii="Times New Roman" w:hAnsi="Times New Roman" w:cs="Times New Roman"/>
        </w:rPr>
        <w:t>. Одновременно потеряют прочность окружающие крепления реакторов АПЛ, что станет предпосылкой для их опрокидывания. Возрастет вероятность механического разрыва трубопроводов первого контура. Тем не менее, в этих условиях прочный корпус (27 мм), хотя и будет иметь большое количество сквозных отверстий, до 2200-2250 гг. еще сохранит свои прочностные свойства</w:t>
      </w:r>
      <w:r>
        <w:rPr>
          <w:rFonts w:ascii="Times New Roman" w:hAnsi="Times New Roman" w:cs="Times New Roman"/>
        </w:rPr>
        <w:t xml:space="preserve">», - уверен </w:t>
      </w:r>
      <w:proofErr w:type="spellStart"/>
      <w:r>
        <w:rPr>
          <w:rFonts w:ascii="Times New Roman" w:hAnsi="Times New Roman" w:cs="Times New Roman"/>
        </w:rPr>
        <w:t>Осминов</w:t>
      </w:r>
      <w:proofErr w:type="spellEnd"/>
      <w:r w:rsidRPr="00F672A8">
        <w:rPr>
          <w:rFonts w:ascii="Times New Roman" w:hAnsi="Times New Roman" w:cs="Times New Roman"/>
        </w:rPr>
        <w:t>.</w:t>
      </w:r>
    </w:p>
    <w:p w:rsidR="008C04C4" w:rsidRPr="00F672A8" w:rsidRDefault="008C04C4" w:rsidP="008C04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 касается контейнеров с ТРО</w:t>
      </w:r>
      <w:r w:rsidRPr="00F672A8">
        <w:rPr>
          <w:rFonts w:ascii="Times New Roman" w:hAnsi="Times New Roman" w:cs="Times New Roman"/>
          <w:color w:val="000000"/>
        </w:rPr>
        <w:t>, то из 17 тысяч более чем 4000 контейнеров находятся в неудовлетворительном состоянии и количество их со временем</w:t>
      </w:r>
      <w:r>
        <w:rPr>
          <w:rFonts w:ascii="Times New Roman" w:hAnsi="Times New Roman" w:cs="Times New Roman"/>
          <w:color w:val="000000"/>
        </w:rPr>
        <w:t>,</w:t>
      </w:r>
      <w:r w:rsidRPr="00F672A8">
        <w:rPr>
          <w:rFonts w:ascii="Times New Roman" w:hAnsi="Times New Roman" w:cs="Times New Roman"/>
          <w:color w:val="000000"/>
        </w:rPr>
        <w:t xml:space="preserve"> естественно</w:t>
      </w:r>
      <w:r>
        <w:rPr>
          <w:rFonts w:ascii="Times New Roman" w:hAnsi="Times New Roman" w:cs="Times New Roman"/>
          <w:color w:val="000000"/>
        </w:rPr>
        <w:t>,</w:t>
      </w:r>
      <w:r w:rsidRPr="00F672A8">
        <w:rPr>
          <w:rFonts w:ascii="Times New Roman" w:hAnsi="Times New Roman" w:cs="Times New Roman"/>
          <w:color w:val="000000"/>
        </w:rPr>
        <w:t xml:space="preserve">  возрастает</w:t>
      </w:r>
      <w:r>
        <w:rPr>
          <w:rFonts w:ascii="Times New Roman" w:hAnsi="Times New Roman" w:cs="Times New Roman"/>
          <w:color w:val="000000"/>
        </w:rPr>
        <w:t>.</w:t>
      </w:r>
    </w:p>
    <w:p w:rsidR="008C04C4" w:rsidRDefault="008C04C4" w:rsidP="008C04C4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словам </w:t>
      </w:r>
      <w:proofErr w:type="spellStart"/>
      <w:r>
        <w:rPr>
          <w:rFonts w:ascii="Times New Roman" w:hAnsi="Times New Roman" w:cs="Times New Roman"/>
        </w:rPr>
        <w:t>Осминова</w:t>
      </w:r>
      <w:proofErr w:type="spellEnd"/>
      <w:r>
        <w:rPr>
          <w:rFonts w:ascii="Times New Roman" w:hAnsi="Times New Roman" w:cs="Times New Roman"/>
        </w:rPr>
        <w:t>, э</w:t>
      </w:r>
      <w:r w:rsidRPr="00F672A8">
        <w:rPr>
          <w:rFonts w:ascii="Times New Roman" w:hAnsi="Times New Roman" w:cs="Times New Roman"/>
        </w:rPr>
        <w:t xml:space="preserve">ксперты </w:t>
      </w:r>
      <w:r>
        <w:rPr>
          <w:rFonts w:ascii="Times New Roman" w:hAnsi="Times New Roman" w:cs="Times New Roman"/>
        </w:rPr>
        <w:t>Международного Агентства по атомной энергии (</w:t>
      </w:r>
      <w:r w:rsidRPr="00F672A8">
        <w:rPr>
          <w:rFonts w:ascii="Times New Roman" w:hAnsi="Times New Roman" w:cs="Times New Roman"/>
        </w:rPr>
        <w:t>МАГАТЭ</w:t>
      </w:r>
      <w:r>
        <w:rPr>
          <w:rFonts w:ascii="Times New Roman" w:hAnsi="Times New Roman" w:cs="Times New Roman"/>
        </w:rPr>
        <w:t>)</w:t>
      </w:r>
      <w:r w:rsidRPr="00F672A8">
        <w:rPr>
          <w:rFonts w:ascii="Times New Roman" w:hAnsi="Times New Roman" w:cs="Times New Roman"/>
        </w:rPr>
        <w:t xml:space="preserve"> и Европейского союза, оценив радиоэкологические последствия удаления радиоактивных отходов российского военного и ледокольного атомных флотов в арктические моря, пришли к заключению о пренебрежимо малом дополнительном их </w:t>
      </w:r>
      <w:r w:rsidRPr="00F672A8">
        <w:rPr>
          <w:rFonts w:ascii="Times New Roman" w:hAnsi="Times New Roman" w:cs="Times New Roman"/>
        </w:rPr>
        <w:lastRenderedPageBreak/>
        <w:t xml:space="preserve">воздействии на население и </w:t>
      </w:r>
      <w:proofErr w:type="spellStart"/>
      <w:r w:rsidRPr="00F672A8">
        <w:rPr>
          <w:rFonts w:ascii="Times New Roman" w:hAnsi="Times New Roman" w:cs="Times New Roman"/>
        </w:rPr>
        <w:t>биоту</w:t>
      </w:r>
      <w:proofErr w:type="spellEnd"/>
      <w:r w:rsidRPr="00F672A8">
        <w:rPr>
          <w:rFonts w:ascii="Times New Roman" w:hAnsi="Times New Roman" w:cs="Times New Roman"/>
        </w:rPr>
        <w:t>. Норвежские и российские специалисты в результате многолетних наблюдений также подтвердили, что сброшенные радиоактивные отходы не представляют реальной опасности и могут определенное время оставаться на дне, однако, учитывая высокую потенциальную опасность отдельных объектов, особенно с ОЯТ, они считают необходимым проведение постоянного радиоэкологического контроля и мониторинга районов их за</w:t>
      </w:r>
      <w:r>
        <w:rPr>
          <w:rFonts w:ascii="Times New Roman" w:hAnsi="Times New Roman" w:cs="Times New Roman"/>
        </w:rPr>
        <w:t>топления</w:t>
      </w:r>
      <w:r w:rsidRPr="00F672A8">
        <w:rPr>
          <w:rFonts w:ascii="Times New Roman" w:hAnsi="Times New Roman" w:cs="Times New Roman"/>
        </w:rPr>
        <w:t>.</w:t>
      </w:r>
    </w:p>
    <w:p w:rsidR="008C04C4" w:rsidRDefault="008C04C4" w:rsidP="008C04C4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r w:rsidRPr="00F672A8">
        <w:rPr>
          <w:rFonts w:ascii="Times New Roman" w:hAnsi="Times New Roman" w:cs="Times New Roman"/>
        </w:rPr>
        <w:t>Радиоэкологическое состояние районов их затопления характеризуется как удовлетворительное. Наблюдаются только локальные зоны радиоактивного загрязнения донных отложений вблизи контейнеров на удалении нескольких метров от каждого из них и до десятков</w:t>
      </w:r>
      <w:r>
        <w:rPr>
          <w:rFonts w:ascii="Times New Roman" w:hAnsi="Times New Roman" w:cs="Times New Roman"/>
        </w:rPr>
        <w:t xml:space="preserve"> </w:t>
      </w:r>
      <w:r w:rsidRPr="00F672A8">
        <w:rPr>
          <w:rFonts w:ascii="Times New Roman" w:hAnsi="Times New Roman" w:cs="Times New Roman"/>
        </w:rPr>
        <w:t>- сотен метров в местах их скопления. Однако</w:t>
      </w:r>
      <w:r>
        <w:rPr>
          <w:rFonts w:ascii="Times New Roman" w:hAnsi="Times New Roman" w:cs="Times New Roman"/>
        </w:rPr>
        <w:t>,</w:t>
      </w:r>
      <w:r w:rsidRPr="00F672A8">
        <w:rPr>
          <w:rFonts w:ascii="Times New Roman" w:hAnsi="Times New Roman" w:cs="Times New Roman"/>
        </w:rPr>
        <w:t xml:space="preserve"> для получения такого заключения потребовалось провести более 40 морских экспедиций</w:t>
      </w:r>
      <w:r>
        <w:rPr>
          <w:rFonts w:ascii="Times New Roman" w:hAnsi="Times New Roman" w:cs="Times New Roman"/>
        </w:rPr>
        <w:t>,</w:t>
      </w:r>
      <w:r w:rsidRPr="00F672A8">
        <w:rPr>
          <w:rFonts w:ascii="Times New Roman" w:hAnsi="Times New Roman" w:cs="Times New Roman"/>
        </w:rPr>
        <w:t xml:space="preserve"> включая около 10 международных. </w:t>
      </w:r>
    </w:p>
    <w:p w:rsidR="008C04C4" w:rsidRPr="00F672A8" w:rsidRDefault="008C04C4" w:rsidP="008C04C4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proofErr w:type="gramStart"/>
      <w:r w:rsidRPr="00F672A8">
        <w:rPr>
          <w:rFonts w:ascii="Times New Roman" w:hAnsi="Times New Roman" w:cs="Times New Roman"/>
        </w:rPr>
        <w:t xml:space="preserve">Подобного типа мониторинг, в случае оставления наиболее опасных </w:t>
      </w:r>
      <w:r>
        <w:rPr>
          <w:rFonts w:ascii="Times New Roman" w:hAnsi="Times New Roman" w:cs="Times New Roman"/>
        </w:rPr>
        <w:t xml:space="preserve">(содержащих ОЯТ) </w:t>
      </w:r>
      <w:r w:rsidRPr="00F672A8">
        <w:rPr>
          <w:rFonts w:ascii="Times New Roman" w:hAnsi="Times New Roman" w:cs="Times New Roman"/>
        </w:rPr>
        <w:t>из них на дне необходимо будет осуществлять в дальнейшем по мере коррозионного разрушения защитных барьеров</w:t>
      </w:r>
      <w:r>
        <w:rPr>
          <w:rFonts w:ascii="Times New Roman" w:hAnsi="Times New Roman" w:cs="Times New Roman"/>
        </w:rPr>
        <w:t>,</w:t>
      </w:r>
      <w:r w:rsidRPr="00F672A8">
        <w:rPr>
          <w:rFonts w:ascii="Times New Roman" w:hAnsi="Times New Roman" w:cs="Times New Roman"/>
        </w:rPr>
        <w:t xml:space="preserve"> вплоть до 2500—2700 гг</w:t>
      </w:r>
      <w:r>
        <w:rPr>
          <w:rFonts w:ascii="Times New Roman" w:hAnsi="Times New Roman" w:cs="Times New Roman"/>
        </w:rPr>
        <w:t>.</w:t>
      </w:r>
      <w:r w:rsidRPr="00F672A8">
        <w:rPr>
          <w:rFonts w:ascii="Times New Roman" w:hAnsi="Times New Roman" w:cs="Times New Roman"/>
        </w:rPr>
        <w:t xml:space="preserve"> Кроме того, результаты расчетов скорости коррозионных процессов защитных барьеров затопленных объектов, полученные в  ИБРАЭ, дают основания полагать, что при определенных условиях деградация этих барьеров может идти значительно быстрее, и их разрушение</w:t>
      </w:r>
      <w:proofErr w:type="gramEnd"/>
      <w:r w:rsidRPr="00F672A8">
        <w:rPr>
          <w:rFonts w:ascii="Times New Roman" w:hAnsi="Times New Roman" w:cs="Times New Roman"/>
        </w:rPr>
        <w:t xml:space="preserve"> может наступить значительно раньше, чем первоначально предполагалось. </w:t>
      </w:r>
    </w:p>
    <w:p w:rsidR="008C04C4" w:rsidRPr="00225B2C" w:rsidRDefault="008C04C4" w:rsidP="008C04C4">
      <w:pPr>
        <w:spacing w:before="120" w:after="120"/>
        <w:rPr>
          <w:rFonts w:ascii="Times New Roman" w:hAnsi="Times New Roman" w:cs="Times New Roman"/>
          <w:b/>
        </w:rPr>
      </w:pPr>
      <w:r w:rsidRPr="00225B2C">
        <w:rPr>
          <w:rFonts w:ascii="Times New Roman" w:hAnsi="Times New Roman" w:cs="Times New Roman"/>
          <w:b/>
        </w:rPr>
        <w:t>К-27</w:t>
      </w:r>
    </w:p>
    <w:p w:rsidR="008C04C4" w:rsidRDefault="008C04C4" w:rsidP="008C04C4">
      <w:pPr>
        <w:spacing w:before="120" w:after="120"/>
        <w:rPr>
          <w:rFonts w:ascii="Times New Roman" w:hAnsi="Times New Roman" w:cs="Times New Roman"/>
        </w:rPr>
      </w:pPr>
      <w:r w:rsidRPr="00F672A8">
        <w:rPr>
          <w:rFonts w:ascii="Times New Roman" w:hAnsi="Times New Roman" w:cs="Times New Roman"/>
        </w:rPr>
        <w:t xml:space="preserve">Информация, полученная в ходе последних работ по выгрузке ядерного топлива из реакторов АПЛ с жидкометаллическим теплоносителем, и расчеты, проведенные специалистами Физико-энергетического института имени </w:t>
      </w:r>
      <w:proofErr w:type="spellStart"/>
      <w:r w:rsidRPr="00F672A8">
        <w:rPr>
          <w:rFonts w:ascii="Times New Roman" w:hAnsi="Times New Roman" w:cs="Times New Roman"/>
        </w:rPr>
        <w:t>Лейпунского</w:t>
      </w:r>
      <w:proofErr w:type="spellEnd"/>
      <w:r w:rsidRPr="00F672A8">
        <w:rPr>
          <w:rFonts w:ascii="Times New Roman" w:hAnsi="Times New Roman" w:cs="Times New Roman"/>
        </w:rPr>
        <w:t>, показали, что  при определенном стечении обстоятельств не исключено попадание воды в активную зону затопленной в бухте Новой Земли АПЛ К-27 и возникновение самоподдерживающейся цепной реакции. Это может привести к разрушению защитных барьеров реактора и значительному выбросу активности в окружающую среду.</w:t>
      </w:r>
    </w:p>
    <w:p w:rsidR="008C04C4" w:rsidRDefault="008C04C4" w:rsidP="008C04C4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r w:rsidRPr="00225B2C">
        <w:rPr>
          <w:rFonts w:ascii="Times New Roman" w:hAnsi="Times New Roman" w:cs="Times New Roman"/>
          <w:color w:val="000000" w:themeColor="text1"/>
        </w:rPr>
        <w:t xml:space="preserve">По словам Председателя правления </w:t>
      </w:r>
      <w:r>
        <w:rPr>
          <w:rFonts w:ascii="Times New Roman" w:hAnsi="Times New Roman" w:cs="Times New Roman"/>
          <w:color w:val="000000" w:themeColor="text1"/>
        </w:rPr>
        <w:t>ЭПЦ «Беллона» (Санкт Петербург) Александра Никитина, н</w:t>
      </w:r>
      <w:r w:rsidRPr="00F672A8">
        <w:rPr>
          <w:rFonts w:ascii="Times New Roman" w:hAnsi="Times New Roman" w:cs="Times New Roman"/>
        </w:rPr>
        <w:t xml:space="preserve">еобходимо как можно быстрее принимать решение о подъеме и утилизации затопленных АПЛ. </w:t>
      </w:r>
    </w:p>
    <w:p w:rsidR="008C04C4" w:rsidRPr="00F672A8" w:rsidRDefault="008C04C4" w:rsidP="008C04C4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672A8">
        <w:rPr>
          <w:rFonts w:ascii="Times New Roman" w:hAnsi="Times New Roman" w:cs="Times New Roman"/>
        </w:rPr>
        <w:t>У нас есть зазор в пять лет</w:t>
      </w:r>
      <w:r>
        <w:rPr>
          <w:rFonts w:ascii="Times New Roman" w:hAnsi="Times New Roman" w:cs="Times New Roman"/>
        </w:rPr>
        <w:t xml:space="preserve"> для решения проблемы с К</w:t>
      </w:r>
      <w:r w:rsidRPr="00F672A8">
        <w:rPr>
          <w:rFonts w:ascii="Times New Roman" w:hAnsi="Times New Roman" w:cs="Times New Roman"/>
        </w:rPr>
        <w:t>-27, пока не закрыта база в Гремихе, иначе потом у нас не будет соответствующей инфраструктуры</w:t>
      </w:r>
      <w:r>
        <w:rPr>
          <w:rFonts w:ascii="Times New Roman" w:hAnsi="Times New Roman" w:cs="Times New Roman"/>
        </w:rPr>
        <w:t>», - отметил Никитин</w:t>
      </w:r>
      <w:r w:rsidRPr="00F672A8">
        <w:rPr>
          <w:rFonts w:ascii="Times New Roman" w:hAnsi="Times New Roman" w:cs="Times New Roman"/>
        </w:rPr>
        <w:t>.</w:t>
      </w:r>
    </w:p>
    <w:p w:rsidR="008C04C4" w:rsidRDefault="008C04C4" w:rsidP="008C04C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ИБРАЭ, </w:t>
      </w:r>
      <w:r w:rsidRPr="00F672A8">
        <w:rPr>
          <w:rFonts w:ascii="Times New Roman" w:hAnsi="Times New Roman" w:cs="Times New Roman"/>
        </w:rPr>
        <w:t>затопленны</w:t>
      </w:r>
      <w:r>
        <w:rPr>
          <w:rFonts w:ascii="Times New Roman" w:hAnsi="Times New Roman" w:cs="Times New Roman"/>
        </w:rPr>
        <w:t>е объекты</w:t>
      </w:r>
      <w:r w:rsidRPr="00F672A8">
        <w:rPr>
          <w:rFonts w:ascii="Times New Roman" w:hAnsi="Times New Roman" w:cs="Times New Roman"/>
        </w:rPr>
        <w:t xml:space="preserve"> с ОЯТ и ТРО </w:t>
      </w:r>
      <w:r>
        <w:rPr>
          <w:rFonts w:ascii="Times New Roman" w:hAnsi="Times New Roman" w:cs="Times New Roman"/>
        </w:rPr>
        <w:t xml:space="preserve">по </w:t>
      </w:r>
      <w:r w:rsidRPr="00F672A8">
        <w:rPr>
          <w:rFonts w:ascii="Times New Roman" w:hAnsi="Times New Roman" w:cs="Times New Roman"/>
        </w:rPr>
        <w:t xml:space="preserve">степени реальной и потенциальной опасности для окружающей среды и человека </w:t>
      </w:r>
      <w:r>
        <w:rPr>
          <w:rFonts w:ascii="Times New Roman" w:hAnsi="Times New Roman" w:cs="Times New Roman"/>
        </w:rPr>
        <w:t xml:space="preserve">можно </w:t>
      </w:r>
      <w:r w:rsidRPr="00F672A8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ить</w:t>
      </w:r>
      <w:r w:rsidRPr="00F672A8">
        <w:rPr>
          <w:rFonts w:ascii="Times New Roman" w:hAnsi="Times New Roman" w:cs="Times New Roman"/>
        </w:rPr>
        <w:t xml:space="preserve"> на три группы, первая из которых примерно в 10 раз превосходит вторую и примерно в 100 раз третью. </w:t>
      </w:r>
    </w:p>
    <w:p w:rsidR="008C04C4" w:rsidRDefault="008C04C4" w:rsidP="008C04C4">
      <w:pPr>
        <w:spacing w:before="120" w:after="120"/>
        <w:rPr>
          <w:rFonts w:ascii="Times New Roman" w:hAnsi="Times New Roman" w:cs="Times New Roman"/>
        </w:rPr>
      </w:pPr>
      <w:r w:rsidRPr="00F672A8">
        <w:rPr>
          <w:rFonts w:ascii="Times New Roman" w:hAnsi="Times New Roman" w:cs="Times New Roman"/>
        </w:rPr>
        <w:t xml:space="preserve">К первой группе относятся объекты с ОЯТ, ко второй - ТРО в контейнерах и судах, к третьей </w:t>
      </w:r>
      <w:r>
        <w:rPr>
          <w:rFonts w:ascii="Times New Roman" w:hAnsi="Times New Roman" w:cs="Times New Roman"/>
        </w:rPr>
        <w:t>–</w:t>
      </w:r>
      <w:r w:rsidRPr="00F6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реакторные отсеки</w:t>
      </w:r>
      <w:r w:rsidRPr="00F672A8">
        <w:rPr>
          <w:rFonts w:ascii="Times New Roman" w:hAnsi="Times New Roman" w:cs="Times New Roman"/>
        </w:rPr>
        <w:t xml:space="preserve"> без ОЯТ.</w:t>
      </w:r>
    </w:p>
    <w:p w:rsidR="008C04C4" w:rsidRDefault="008C04C4" w:rsidP="008C04C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25B2C">
        <w:rPr>
          <w:rFonts w:ascii="Times New Roman" w:hAnsi="Times New Roman" w:cs="Times New Roman"/>
        </w:rPr>
        <w:t>В настоящее время сложилась парадоксальная ситуация - в РФ не определено ведомство, ответственное за эти объекты, в связи с чем, ни одно из них не готово взять на себя решение этой проблемы</w:t>
      </w:r>
      <w:r>
        <w:rPr>
          <w:rFonts w:ascii="Times New Roman" w:hAnsi="Times New Roman" w:cs="Times New Roman"/>
        </w:rPr>
        <w:t xml:space="preserve">», - отмечает </w:t>
      </w:r>
      <w:proofErr w:type="spellStart"/>
      <w:r>
        <w:rPr>
          <w:rFonts w:ascii="Times New Roman" w:hAnsi="Times New Roman" w:cs="Times New Roman"/>
        </w:rPr>
        <w:t>Осминов</w:t>
      </w:r>
      <w:proofErr w:type="spellEnd"/>
      <w:r w:rsidRPr="00225B2C">
        <w:rPr>
          <w:rFonts w:ascii="Times New Roman" w:hAnsi="Times New Roman" w:cs="Times New Roman"/>
        </w:rPr>
        <w:t>.</w:t>
      </w:r>
    </w:p>
    <w:p w:rsidR="008C04C4" w:rsidRDefault="008C04C4" w:rsidP="008C04C4">
      <w:pPr>
        <w:spacing w:before="120" w:after="120"/>
        <w:rPr>
          <w:rFonts w:ascii="Times New Roman" w:hAnsi="Times New Roman" w:cs="Times New Roman"/>
        </w:rPr>
      </w:pPr>
      <w:r w:rsidRPr="00F672A8">
        <w:rPr>
          <w:rFonts w:ascii="Times New Roman" w:hAnsi="Times New Roman" w:cs="Times New Roman"/>
        </w:rPr>
        <w:t>Необходимость решения этой проблемы</w:t>
      </w:r>
      <w:r>
        <w:rPr>
          <w:rFonts w:ascii="Times New Roman" w:hAnsi="Times New Roman" w:cs="Times New Roman"/>
        </w:rPr>
        <w:t xml:space="preserve"> уже</w:t>
      </w:r>
      <w:r w:rsidRPr="00F672A8">
        <w:rPr>
          <w:rFonts w:ascii="Times New Roman" w:hAnsi="Times New Roman" w:cs="Times New Roman"/>
        </w:rPr>
        <w:t xml:space="preserve"> была поддержана Министерством обороны РФ, МЧС, Минприроды, ГК «Росатом» и другими ведомствами. </w:t>
      </w:r>
      <w:r>
        <w:rPr>
          <w:rFonts w:ascii="Times New Roman" w:hAnsi="Times New Roman" w:cs="Times New Roman"/>
        </w:rPr>
        <w:t xml:space="preserve">Были даны поручения по разработке плана </w:t>
      </w:r>
      <w:r w:rsidRPr="00F672A8">
        <w:rPr>
          <w:rFonts w:ascii="Times New Roman" w:hAnsi="Times New Roman" w:cs="Times New Roman"/>
        </w:rPr>
        <w:t xml:space="preserve">действий по решению проблемы затопленных объектов. </w:t>
      </w:r>
      <w:r>
        <w:rPr>
          <w:rFonts w:ascii="Times New Roman" w:hAnsi="Times New Roman" w:cs="Times New Roman"/>
        </w:rPr>
        <w:t>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еще ничего не было сделано. </w:t>
      </w:r>
    </w:p>
    <w:p w:rsidR="00DB2585" w:rsidRPr="008C04C4" w:rsidRDefault="008C04C4" w:rsidP="008C04C4">
      <w:pPr>
        <w:spacing w:before="120" w:after="120"/>
      </w:pPr>
      <w:r>
        <w:rPr>
          <w:rFonts w:ascii="Times New Roman" w:hAnsi="Times New Roman" w:cs="Times New Roman"/>
        </w:rPr>
        <w:t>«</w:t>
      </w:r>
      <w:r w:rsidRPr="00F672A8">
        <w:rPr>
          <w:rFonts w:ascii="Times New Roman" w:hAnsi="Times New Roman" w:cs="Times New Roman"/>
        </w:rPr>
        <w:t xml:space="preserve">Сегодня нет единого общепринятого мнения о том, что же надо делать с затопленными объектами: поднимать и утилизировать, консервировать на дне или оставить все, как есть? </w:t>
      </w:r>
      <w:r w:rsidRPr="00F672A8">
        <w:rPr>
          <w:rFonts w:ascii="Times New Roman" w:hAnsi="Times New Roman" w:cs="Times New Roman"/>
        </w:rPr>
        <w:lastRenderedPageBreak/>
        <w:t>Нет и общего представления о масштабе средств и времени, необходимых для ее решения тем или иным способом</w:t>
      </w:r>
      <w:r>
        <w:rPr>
          <w:rFonts w:ascii="Times New Roman" w:hAnsi="Times New Roman" w:cs="Times New Roman"/>
        </w:rPr>
        <w:t>», - отмечае</w:t>
      </w:r>
      <w:bookmarkStart w:id="0" w:name="_GoBack"/>
      <w:bookmarkEnd w:id="0"/>
      <w:r>
        <w:rPr>
          <w:rFonts w:ascii="Times New Roman" w:hAnsi="Times New Roman" w:cs="Times New Roman"/>
        </w:rPr>
        <w:t>т сотрудник ИБРАЭ.</w:t>
      </w:r>
    </w:p>
    <w:sectPr w:rsidR="00DB2585" w:rsidRPr="008C04C4" w:rsidSect="0085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BFE"/>
    <w:multiLevelType w:val="hybridMultilevel"/>
    <w:tmpl w:val="4BBA96B0"/>
    <w:lvl w:ilvl="0" w:tplc="87A8B9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474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FD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62B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5F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00D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E00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CE3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A18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B374BA"/>
    <w:multiLevelType w:val="hybridMultilevel"/>
    <w:tmpl w:val="8C064D96"/>
    <w:lvl w:ilvl="0" w:tplc="D084CE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20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CC6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21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801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C2F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EF8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0A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830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85"/>
    <w:rsid w:val="00225B2C"/>
    <w:rsid w:val="002663F0"/>
    <w:rsid w:val="005B67E2"/>
    <w:rsid w:val="00742D3A"/>
    <w:rsid w:val="00850FE9"/>
    <w:rsid w:val="008C04C4"/>
    <w:rsid w:val="00B86A9D"/>
    <w:rsid w:val="00D003BC"/>
    <w:rsid w:val="00D20AFF"/>
    <w:rsid w:val="00D56EE8"/>
    <w:rsid w:val="00D834AB"/>
    <w:rsid w:val="00DB2585"/>
    <w:rsid w:val="00E45C71"/>
    <w:rsid w:val="00F6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 с отст"/>
    <w:basedOn w:val="a"/>
    <w:rsid w:val="00DB258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Обычный.Normal"/>
    <w:rsid w:val="00DB25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DB2585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DB2585"/>
  </w:style>
  <w:style w:type="paragraph" w:styleId="a6">
    <w:name w:val="Body Text"/>
    <w:basedOn w:val="a"/>
    <w:link w:val="a7"/>
    <w:uiPriority w:val="99"/>
    <w:semiHidden/>
    <w:unhideWhenUsed/>
    <w:rsid w:val="00DB2585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2585"/>
  </w:style>
  <w:style w:type="character" w:styleId="a8">
    <w:name w:val="Hyperlink"/>
    <w:basedOn w:val="a0"/>
    <w:uiPriority w:val="99"/>
    <w:unhideWhenUsed/>
    <w:rsid w:val="00742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lona.ru/articles_ru/articles_2014/1411476660.87" TargetMode="External"/><Relationship Id="rId5" Type="http://schemas.openxmlformats.org/officeDocument/2006/relationships/hyperlink" Target="http://www.bellona.ru/persons/1140458222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2014-09-23T10:16:00Z</dcterms:created>
  <dcterms:modified xsi:type="dcterms:W3CDTF">2014-09-23T13:16:00Z</dcterms:modified>
</cp:coreProperties>
</file>