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b/>
          <w:bCs/>
          <w:sz w:val="38"/>
          <w:szCs w:val="38"/>
        </w:rPr>
        <w:t>Опасна ли для регионов России зеленая экономика других стран?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b/>
          <w:bCs/>
          <w:sz w:val="30"/>
          <w:szCs w:val="30"/>
        </w:rPr>
      </w:pPr>
      <w:r w:rsidRPr="00AA2832">
        <w:rPr>
          <w:rFonts w:ascii="Arial" w:hAnsi="Arial" w:cs="Arial"/>
          <w:b/>
          <w:bCs/>
          <w:sz w:val="30"/>
          <w:szCs w:val="30"/>
        </w:rPr>
        <w:t>Как меры по ограничению выбросов СО</w:t>
      </w:r>
      <w:proofErr w:type="gramStart"/>
      <w:r w:rsidRPr="00AA2832">
        <w:rPr>
          <w:rFonts w:ascii="Arial" w:hAnsi="Arial" w:cs="Arial"/>
          <w:b/>
          <w:bCs/>
          <w:vertAlign w:val="subscript"/>
        </w:rPr>
        <w:t>2</w:t>
      </w:r>
      <w:proofErr w:type="gramEnd"/>
      <w:r w:rsidRPr="00AA2832">
        <w:rPr>
          <w:rFonts w:ascii="Arial" w:hAnsi="Arial" w:cs="Arial"/>
          <w:b/>
          <w:bCs/>
          <w:sz w:val="30"/>
          <w:szCs w:val="30"/>
        </w:rPr>
        <w:t xml:space="preserve"> в ЕС, США, Китае, Японии, Ю. Корее и Норвегии могут повлиять на экспорт товаров из арктических и дальневосточных регионов России? 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bCs/>
          <w:sz w:val="30"/>
          <w:szCs w:val="30"/>
        </w:rPr>
        <w:t xml:space="preserve">Принципиально важный шаг к ответу на этот вопрос сделан в новом исследовании МГИМО и Всемирного фонда дикой природы. В </w:t>
      </w:r>
      <w:proofErr w:type="gramStart"/>
      <w:r w:rsidRPr="00AA2832">
        <w:rPr>
          <w:rFonts w:ascii="Arial" w:hAnsi="Arial" w:cs="Arial"/>
          <w:bCs/>
          <w:sz w:val="30"/>
          <w:szCs w:val="30"/>
        </w:rPr>
        <w:t>большинстве</w:t>
      </w:r>
      <w:proofErr w:type="gramEnd"/>
      <w:r w:rsidRPr="00AA2832">
        <w:rPr>
          <w:rFonts w:ascii="Arial" w:hAnsi="Arial" w:cs="Arial"/>
          <w:bCs/>
          <w:sz w:val="30"/>
          <w:szCs w:val="30"/>
        </w:rPr>
        <w:t xml:space="preserve"> данных регионов очень велика зависимость от экспорта</w:t>
      </w:r>
      <w:r>
        <w:rPr>
          <w:rFonts w:ascii="Arial" w:hAnsi="Arial" w:cs="Arial"/>
          <w:bCs/>
          <w:sz w:val="30"/>
          <w:szCs w:val="30"/>
        </w:rPr>
        <w:t>. П</w:t>
      </w:r>
      <w:r w:rsidRPr="00AA2832">
        <w:rPr>
          <w:rFonts w:ascii="Arial" w:hAnsi="Arial" w:cs="Arial"/>
          <w:bCs/>
          <w:sz w:val="30"/>
          <w:szCs w:val="30"/>
        </w:rPr>
        <w:t xml:space="preserve">ричем именно в страны, которые ведут все более активную политику ухода от товаров, связанных с высокими выбросами парниковых газов. </w:t>
      </w:r>
      <w:proofErr w:type="gramStart"/>
      <w:r w:rsidRPr="00AA2832">
        <w:rPr>
          <w:rFonts w:ascii="Arial" w:hAnsi="Arial" w:cs="Arial"/>
          <w:bCs/>
          <w:sz w:val="30"/>
          <w:szCs w:val="30"/>
        </w:rPr>
        <w:t>Процент «углеродно-чувствительной» доли экспорта в 2011 г. в ДВФО может достигать 80%, а для в Еврейской АО получен рекордный показатель в 97%. Чтобы снизить риск экспортных потерь, нужны меры и стимулы к снижению углеродоемкости производства, а также диверсификация экспорта.</w:t>
      </w:r>
      <w:proofErr w:type="gramEnd"/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 xml:space="preserve">МГИМО и </w:t>
      </w:r>
      <w:r>
        <w:rPr>
          <w:rFonts w:ascii="Arial" w:hAnsi="Arial" w:cs="Arial"/>
          <w:sz w:val="30"/>
          <w:szCs w:val="30"/>
          <w:lang w:val="en-US"/>
        </w:rPr>
        <w:t>WWF</w:t>
      </w:r>
      <w:r w:rsidRPr="00AA2832">
        <w:rPr>
          <w:rFonts w:ascii="Arial" w:hAnsi="Arial" w:cs="Arial"/>
          <w:sz w:val="30"/>
          <w:szCs w:val="30"/>
        </w:rPr>
        <w:t xml:space="preserve"> подготовили экономическое исследование по вопросу, который уже не раз поднимался в СМИ и на международных переговорах – как зеленые меры развитых стран повлияют на экономику их торговых партнеров, в частности, России? Теперь для 12 арктических и дальневосточных регионов нашей страны впервые получены численные данные, характеризующие риск снижения экспорта. Для Мурманской области доля экспорта в страны с активной климатической политикой составляет 78%, а для Архангельской области даже 83%.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Примерно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такие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же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цифры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и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для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Дальневосточного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федерального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n-US"/>
        </w:rPr>
        <w:t>округа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. </w:t>
      </w:r>
      <w:r w:rsidRPr="00AA2832">
        <w:rPr>
          <w:rFonts w:ascii="Arial" w:hAnsi="Arial" w:cs="Arial"/>
          <w:sz w:val="30"/>
          <w:szCs w:val="30"/>
        </w:rPr>
        <w:t>При этом почти везде в экспорте преобладают «углеродно-чувствительные» товары, потенциально подпадающие под действие пограничных компенсационных мер наших торговых партнеров.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«</w:t>
      </w:r>
      <w:r w:rsidRPr="00AA2832">
        <w:rPr>
          <w:rFonts w:ascii="Arial" w:hAnsi="Arial" w:cs="Arial"/>
          <w:i/>
          <w:iCs/>
          <w:sz w:val="30"/>
          <w:szCs w:val="30"/>
        </w:rPr>
        <w:t>В последние годы ситуация кардинально изменилась</w:t>
      </w:r>
      <w:r w:rsidRPr="00AA2832">
        <w:rPr>
          <w:rFonts w:ascii="Arial" w:hAnsi="Arial" w:cs="Arial"/>
          <w:sz w:val="30"/>
          <w:szCs w:val="30"/>
        </w:rPr>
        <w:t xml:space="preserve">, - комментирует </w:t>
      </w:r>
      <w:r w:rsidRPr="00AA2832">
        <w:rPr>
          <w:rFonts w:ascii="Arial" w:hAnsi="Arial" w:cs="Arial"/>
          <w:b/>
          <w:bCs/>
          <w:sz w:val="30"/>
          <w:szCs w:val="30"/>
        </w:rPr>
        <w:t>Алексей Кокорин</w:t>
      </w:r>
      <w:r w:rsidRPr="00AA2832">
        <w:rPr>
          <w:rFonts w:ascii="Arial" w:hAnsi="Arial" w:cs="Arial"/>
          <w:sz w:val="30"/>
          <w:szCs w:val="30"/>
        </w:rPr>
        <w:t xml:space="preserve">, руководитель программы «Климат и энергетика» </w:t>
      </w:r>
      <w:r>
        <w:rPr>
          <w:rFonts w:ascii="Arial" w:hAnsi="Arial" w:cs="Arial"/>
          <w:sz w:val="30"/>
          <w:szCs w:val="30"/>
          <w:lang w:val="en-US"/>
        </w:rPr>
        <w:t>WWF</w:t>
      </w:r>
      <w:r w:rsidRPr="00AA2832">
        <w:rPr>
          <w:rFonts w:ascii="Arial" w:hAnsi="Arial" w:cs="Arial"/>
          <w:sz w:val="30"/>
          <w:szCs w:val="30"/>
        </w:rPr>
        <w:t xml:space="preserve"> России. - </w:t>
      </w:r>
      <w:r w:rsidRPr="00AA2832">
        <w:rPr>
          <w:rFonts w:ascii="Arial" w:hAnsi="Arial" w:cs="Arial"/>
          <w:i/>
          <w:iCs/>
          <w:sz w:val="30"/>
          <w:szCs w:val="30"/>
        </w:rPr>
        <w:t>Если раньше национальные и местные меры по регулированию выбросов СО</w:t>
      </w:r>
      <w:proofErr w:type="gramStart"/>
      <w:r w:rsidRPr="00AA2832">
        <w:rPr>
          <w:rFonts w:ascii="Arial" w:hAnsi="Arial" w:cs="Arial"/>
          <w:i/>
          <w:iCs/>
          <w:vertAlign w:val="subscript"/>
        </w:rPr>
        <w:t>2</w:t>
      </w:r>
      <w:proofErr w:type="gramEnd"/>
      <w:r w:rsidRPr="00AA2832">
        <w:rPr>
          <w:rFonts w:ascii="Arial" w:hAnsi="Arial" w:cs="Arial"/>
          <w:i/>
          <w:iCs/>
          <w:sz w:val="30"/>
          <w:szCs w:val="30"/>
        </w:rPr>
        <w:t xml:space="preserve"> были особенностью ЕС, то теперь данной тенденцией охвачены все наши главные партнеры, включая Китай, Японию и США. Это очень наглядно показано в докладе</w:t>
      </w:r>
      <w:r w:rsidRPr="00AA2832">
        <w:rPr>
          <w:rFonts w:ascii="Arial" w:hAnsi="Arial" w:cs="Arial"/>
          <w:sz w:val="30"/>
          <w:szCs w:val="30"/>
        </w:rPr>
        <w:t>».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«</w:t>
      </w:r>
      <w:r w:rsidRPr="00AA2832">
        <w:rPr>
          <w:rFonts w:ascii="Arial" w:hAnsi="Arial" w:cs="Arial"/>
          <w:i/>
          <w:iCs/>
          <w:sz w:val="30"/>
          <w:szCs w:val="30"/>
        </w:rPr>
        <w:t xml:space="preserve">Наше исследование - лишь первый шаг и приведенные в нем </w:t>
      </w:r>
      <w:r w:rsidRPr="00AA2832">
        <w:rPr>
          <w:rFonts w:ascii="Arial" w:hAnsi="Arial" w:cs="Arial"/>
          <w:i/>
          <w:iCs/>
          <w:sz w:val="30"/>
          <w:szCs w:val="30"/>
        </w:rPr>
        <w:lastRenderedPageBreak/>
        <w:t>впервые полученные численные значения носят индикативный характер</w:t>
      </w:r>
      <w:r w:rsidRPr="00AA2832">
        <w:rPr>
          <w:rFonts w:ascii="Arial" w:hAnsi="Arial" w:cs="Arial"/>
          <w:sz w:val="30"/>
          <w:szCs w:val="30"/>
        </w:rPr>
        <w:t xml:space="preserve">, - говорит руководитель авторского коллектива профессор МГИМО </w:t>
      </w:r>
      <w:r w:rsidRPr="00AA2832">
        <w:rPr>
          <w:rFonts w:ascii="Arial" w:hAnsi="Arial" w:cs="Arial"/>
          <w:b/>
          <w:bCs/>
          <w:sz w:val="30"/>
          <w:szCs w:val="30"/>
        </w:rPr>
        <w:t>Наталья Пискулова</w:t>
      </w:r>
      <w:r w:rsidRPr="00AA2832">
        <w:rPr>
          <w:rFonts w:ascii="Arial" w:hAnsi="Arial" w:cs="Arial"/>
          <w:sz w:val="30"/>
          <w:szCs w:val="30"/>
        </w:rPr>
        <w:t xml:space="preserve">. </w:t>
      </w:r>
      <w:r w:rsidR="000E39EB" w:rsidRPr="00AA2832">
        <w:rPr>
          <w:rFonts w:ascii="Arial" w:hAnsi="Arial" w:cs="Arial"/>
          <w:sz w:val="30"/>
          <w:szCs w:val="30"/>
        </w:rPr>
        <w:t xml:space="preserve">- </w:t>
      </w:r>
      <w:r w:rsidRPr="00AA2832">
        <w:rPr>
          <w:rFonts w:ascii="Arial" w:hAnsi="Arial" w:cs="Arial"/>
          <w:i/>
          <w:iCs/>
          <w:sz w:val="30"/>
          <w:szCs w:val="30"/>
        </w:rPr>
        <w:t>Тем не менее, тенденции и потенциальные риски налицо, что требует задуматься о том, что делать бизнесу и органам власти</w:t>
      </w:r>
      <w:r w:rsidRPr="00AA2832">
        <w:rPr>
          <w:rFonts w:ascii="Arial" w:hAnsi="Arial" w:cs="Arial"/>
          <w:sz w:val="30"/>
          <w:szCs w:val="30"/>
        </w:rPr>
        <w:t>».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В исследовании подчеркивается, что необходимо поощр</w:t>
      </w:r>
      <w:r w:rsidR="000E39EB" w:rsidRPr="00AA2832">
        <w:rPr>
          <w:rFonts w:ascii="Arial" w:hAnsi="Arial" w:cs="Arial"/>
          <w:sz w:val="30"/>
          <w:szCs w:val="30"/>
        </w:rPr>
        <w:t>ять</w:t>
      </w:r>
      <w:r w:rsidRPr="00AA2832">
        <w:rPr>
          <w:rFonts w:ascii="Arial" w:hAnsi="Arial" w:cs="Arial"/>
          <w:sz w:val="30"/>
          <w:szCs w:val="30"/>
        </w:rPr>
        <w:t xml:space="preserve"> инновационн</w:t>
      </w:r>
      <w:r w:rsidR="000E39EB" w:rsidRPr="00AA2832">
        <w:rPr>
          <w:rFonts w:ascii="Arial" w:hAnsi="Arial" w:cs="Arial"/>
          <w:sz w:val="30"/>
          <w:szCs w:val="30"/>
        </w:rPr>
        <w:t>ую деятельность</w:t>
      </w:r>
      <w:r w:rsidRPr="00AA2832">
        <w:rPr>
          <w:rFonts w:ascii="Arial" w:hAnsi="Arial" w:cs="Arial"/>
          <w:sz w:val="30"/>
          <w:szCs w:val="30"/>
        </w:rPr>
        <w:t xml:space="preserve"> российских компаний, </w:t>
      </w:r>
      <w:proofErr w:type="gramStart"/>
      <w:r w:rsidRPr="00AA2832">
        <w:rPr>
          <w:rFonts w:ascii="Arial" w:hAnsi="Arial" w:cs="Arial"/>
          <w:sz w:val="30"/>
          <w:szCs w:val="30"/>
        </w:rPr>
        <w:t>ориентированной</w:t>
      </w:r>
      <w:proofErr w:type="gramEnd"/>
      <w:r w:rsidRPr="00AA2832">
        <w:rPr>
          <w:rFonts w:ascii="Arial" w:hAnsi="Arial" w:cs="Arial"/>
          <w:sz w:val="30"/>
          <w:szCs w:val="30"/>
        </w:rPr>
        <w:t xml:space="preserve"> на разработку и внедрение энергоэффективных и других технологий, </w:t>
      </w:r>
      <w:r w:rsidR="000E39EB" w:rsidRPr="00AA2832">
        <w:rPr>
          <w:rFonts w:ascii="Arial" w:hAnsi="Arial" w:cs="Arial"/>
          <w:sz w:val="30"/>
          <w:szCs w:val="30"/>
        </w:rPr>
        <w:t>снижающих</w:t>
      </w:r>
      <w:r w:rsidRPr="00AA2832">
        <w:rPr>
          <w:rFonts w:ascii="Arial" w:hAnsi="Arial" w:cs="Arial"/>
          <w:sz w:val="30"/>
          <w:szCs w:val="30"/>
        </w:rPr>
        <w:t xml:space="preserve"> выброс</w:t>
      </w:r>
      <w:r w:rsidR="000E39EB" w:rsidRPr="00AA2832">
        <w:rPr>
          <w:rFonts w:ascii="Arial" w:hAnsi="Arial" w:cs="Arial"/>
          <w:sz w:val="30"/>
          <w:szCs w:val="30"/>
        </w:rPr>
        <w:t>ы</w:t>
      </w:r>
      <w:r w:rsidRPr="00AA2832">
        <w:rPr>
          <w:rFonts w:ascii="Arial" w:hAnsi="Arial" w:cs="Arial"/>
          <w:sz w:val="30"/>
          <w:szCs w:val="30"/>
        </w:rPr>
        <w:t xml:space="preserve"> парниковых газов. Опыт других стран показывает, что желательна выработка региональных инициатив по созданию систем торговли квотами на выбросы парниковых газов</w:t>
      </w:r>
      <w:r w:rsidR="000E39EB" w:rsidRPr="00AA2832">
        <w:rPr>
          <w:rFonts w:ascii="Arial" w:hAnsi="Arial" w:cs="Arial"/>
          <w:sz w:val="30"/>
          <w:szCs w:val="30"/>
        </w:rPr>
        <w:t>. Это</w:t>
      </w:r>
      <w:r w:rsidRPr="00AA2832">
        <w:rPr>
          <w:rFonts w:ascii="Arial" w:hAnsi="Arial" w:cs="Arial"/>
          <w:sz w:val="30"/>
          <w:szCs w:val="30"/>
        </w:rPr>
        <w:t xml:space="preserve"> позволит стимулировать компании к снижению углеродоемкости производства.</w:t>
      </w:r>
    </w:p>
    <w:p w:rsidR="000E39EB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i/>
          <w:iCs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«</w:t>
      </w:r>
      <w:r w:rsidRPr="00AA2832">
        <w:rPr>
          <w:rFonts w:ascii="Arial" w:hAnsi="Arial" w:cs="Arial"/>
          <w:i/>
          <w:iCs/>
          <w:sz w:val="30"/>
          <w:szCs w:val="30"/>
        </w:rPr>
        <w:t>Речь не идет о том, что наши торговые партнеры завтра введут заградительные меры, но налицо постепенный процесс выдавливания с мирового рынка товаров с неоправданно высокими выбросами СО</w:t>
      </w:r>
      <w:proofErr w:type="gramStart"/>
      <w:r w:rsidRPr="00AA2832">
        <w:rPr>
          <w:rFonts w:ascii="Arial" w:hAnsi="Arial" w:cs="Arial"/>
          <w:i/>
          <w:iCs/>
          <w:vertAlign w:val="subscript"/>
        </w:rPr>
        <w:t>2</w:t>
      </w:r>
      <w:proofErr w:type="gramEnd"/>
      <w:r w:rsidRPr="00AA2832">
        <w:rPr>
          <w:rFonts w:ascii="Arial" w:hAnsi="Arial" w:cs="Arial"/>
          <w:i/>
          <w:iCs/>
          <w:sz w:val="30"/>
          <w:szCs w:val="30"/>
        </w:rPr>
        <w:t xml:space="preserve"> на единицу продукции</w:t>
      </w:r>
      <w:r w:rsidRPr="00AA2832">
        <w:rPr>
          <w:rFonts w:ascii="Arial" w:hAnsi="Arial" w:cs="Arial"/>
          <w:sz w:val="30"/>
          <w:szCs w:val="30"/>
        </w:rPr>
        <w:t xml:space="preserve">, - комментирует директор </w:t>
      </w:r>
      <w:r>
        <w:rPr>
          <w:rFonts w:ascii="Arial" w:hAnsi="Arial" w:cs="Arial"/>
          <w:sz w:val="30"/>
          <w:szCs w:val="30"/>
          <w:lang w:val="en-US"/>
        </w:rPr>
        <w:t>WWF</w:t>
      </w:r>
      <w:r w:rsidRPr="00AA2832">
        <w:rPr>
          <w:rFonts w:ascii="Arial" w:hAnsi="Arial" w:cs="Arial"/>
          <w:sz w:val="30"/>
          <w:szCs w:val="30"/>
        </w:rPr>
        <w:t xml:space="preserve"> России по природоохранной политике доктор географических наук </w:t>
      </w:r>
      <w:r w:rsidRPr="00AA2832">
        <w:rPr>
          <w:rFonts w:ascii="Arial" w:hAnsi="Arial" w:cs="Arial"/>
          <w:b/>
          <w:bCs/>
          <w:sz w:val="30"/>
          <w:szCs w:val="30"/>
        </w:rPr>
        <w:t>Евгений Шварц</w:t>
      </w:r>
      <w:r w:rsidR="000E39EB" w:rsidRPr="00AA2832">
        <w:rPr>
          <w:rFonts w:ascii="Arial" w:hAnsi="Arial" w:cs="Arial"/>
          <w:sz w:val="30"/>
          <w:szCs w:val="30"/>
        </w:rPr>
        <w:t xml:space="preserve">. - </w:t>
      </w:r>
      <w:r w:rsidR="000E39EB" w:rsidRPr="00AA2832">
        <w:rPr>
          <w:rFonts w:ascii="Arial" w:hAnsi="Arial" w:cs="Arial"/>
          <w:i/>
          <w:sz w:val="30"/>
          <w:szCs w:val="30"/>
        </w:rPr>
        <w:t>П</w:t>
      </w:r>
      <w:r w:rsidRPr="00AA2832">
        <w:rPr>
          <w:rFonts w:ascii="Arial" w:hAnsi="Arial" w:cs="Arial"/>
          <w:i/>
          <w:iCs/>
          <w:sz w:val="30"/>
          <w:szCs w:val="30"/>
        </w:rPr>
        <w:t>ри этом членство в ВТО не поможет, так как там позволяется введение мер экологического регулирования</w:t>
      </w:r>
      <w:r w:rsidR="000E39EB" w:rsidRPr="00AA2832">
        <w:rPr>
          <w:rFonts w:ascii="Arial" w:hAnsi="Arial" w:cs="Arial"/>
          <w:sz w:val="30"/>
          <w:szCs w:val="30"/>
        </w:rPr>
        <w:t>»</w:t>
      </w:r>
      <w:r w:rsidRPr="00AA2832">
        <w:rPr>
          <w:rFonts w:ascii="Arial" w:hAnsi="Arial" w:cs="Arial"/>
          <w:i/>
          <w:iCs/>
          <w:sz w:val="30"/>
          <w:szCs w:val="30"/>
        </w:rPr>
        <w:t xml:space="preserve">. </w:t>
      </w:r>
    </w:p>
    <w:p w:rsidR="008A7F58" w:rsidRPr="00AA2832" w:rsidRDefault="000E39EB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«</w:t>
      </w:r>
      <w:r w:rsidR="008A7F58" w:rsidRPr="00AA2832">
        <w:rPr>
          <w:rFonts w:ascii="Arial" w:hAnsi="Arial" w:cs="Arial"/>
          <w:i/>
          <w:iCs/>
          <w:sz w:val="30"/>
          <w:szCs w:val="30"/>
        </w:rPr>
        <w:t>Нужна наступательная климатическая политика и действия по развитию зеленой экономики, оцениваемые по четким количественным индикаторам. В частности</w:t>
      </w:r>
      <w:r w:rsidRPr="00AA2832">
        <w:rPr>
          <w:rFonts w:ascii="Arial" w:hAnsi="Arial" w:cs="Arial"/>
          <w:i/>
          <w:iCs/>
          <w:sz w:val="30"/>
          <w:szCs w:val="30"/>
        </w:rPr>
        <w:t>,</w:t>
      </w:r>
      <w:r w:rsidR="008A7F58" w:rsidRPr="00AA2832">
        <w:rPr>
          <w:rFonts w:ascii="Arial" w:hAnsi="Arial" w:cs="Arial"/>
          <w:i/>
          <w:iCs/>
          <w:sz w:val="30"/>
          <w:szCs w:val="30"/>
        </w:rPr>
        <w:t xml:space="preserve"> </w:t>
      </w:r>
      <w:proofErr w:type="spellStart"/>
      <w:r w:rsidR="008A7F58" w:rsidRPr="00AA2832">
        <w:rPr>
          <w:rFonts w:ascii="Arial" w:hAnsi="Arial" w:cs="Arial"/>
          <w:i/>
          <w:iCs/>
          <w:sz w:val="30"/>
          <w:szCs w:val="30"/>
        </w:rPr>
        <w:t>госкорпораци</w:t>
      </w:r>
      <w:r w:rsidRPr="00AA2832">
        <w:rPr>
          <w:rFonts w:ascii="Arial" w:hAnsi="Arial" w:cs="Arial"/>
          <w:i/>
          <w:iCs/>
          <w:sz w:val="30"/>
          <w:szCs w:val="30"/>
        </w:rPr>
        <w:t>и</w:t>
      </w:r>
      <w:proofErr w:type="spellEnd"/>
      <w:r w:rsidR="008A7F58" w:rsidRPr="00AA2832">
        <w:rPr>
          <w:rFonts w:ascii="Arial" w:hAnsi="Arial" w:cs="Arial"/>
          <w:i/>
          <w:iCs/>
          <w:sz w:val="30"/>
          <w:szCs w:val="30"/>
        </w:rPr>
        <w:t xml:space="preserve"> и госкомпани</w:t>
      </w:r>
      <w:r w:rsidRPr="00AA2832">
        <w:rPr>
          <w:rFonts w:ascii="Arial" w:hAnsi="Arial" w:cs="Arial"/>
          <w:i/>
          <w:iCs/>
          <w:sz w:val="30"/>
          <w:szCs w:val="30"/>
        </w:rPr>
        <w:t>и</w:t>
      </w:r>
      <w:r w:rsidR="008A7F58" w:rsidRPr="00AA2832">
        <w:rPr>
          <w:rFonts w:ascii="Arial" w:hAnsi="Arial" w:cs="Arial"/>
          <w:i/>
          <w:iCs/>
          <w:sz w:val="30"/>
          <w:szCs w:val="30"/>
        </w:rPr>
        <w:t xml:space="preserve"> должны иметь показатели энергоэффективности и удельной эмиссии парниковых газов в своих стратегиях и планах развития</w:t>
      </w:r>
      <w:r w:rsidR="008A7F58" w:rsidRPr="00AA2832">
        <w:rPr>
          <w:rFonts w:ascii="Arial" w:hAnsi="Arial" w:cs="Arial"/>
          <w:sz w:val="30"/>
          <w:szCs w:val="30"/>
        </w:rPr>
        <w:t>»</w:t>
      </w:r>
      <w:r w:rsidRPr="00AA2832">
        <w:rPr>
          <w:rFonts w:ascii="Arial" w:hAnsi="Arial" w:cs="Arial"/>
          <w:sz w:val="30"/>
          <w:szCs w:val="30"/>
        </w:rPr>
        <w:t>, - считает Шварц</w:t>
      </w:r>
      <w:r w:rsidR="008A7F58" w:rsidRPr="00AA2832">
        <w:rPr>
          <w:rFonts w:ascii="Arial" w:hAnsi="Arial" w:cs="Arial"/>
          <w:sz w:val="30"/>
          <w:szCs w:val="30"/>
        </w:rPr>
        <w:t>.</w:t>
      </w:r>
    </w:p>
    <w:p w:rsidR="008A7F58" w:rsidRPr="00AA2832" w:rsidRDefault="008A7F58" w:rsidP="008A7F58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  <w:sz w:val="30"/>
          <w:szCs w:val="30"/>
        </w:rPr>
      </w:pPr>
      <w:r w:rsidRPr="00AA2832">
        <w:rPr>
          <w:rFonts w:ascii="Arial" w:hAnsi="Arial" w:cs="Arial"/>
          <w:sz w:val="30"/>
          <w:szCs w:val="30"/>
        </w:rPr>
        <w:t>«</w:t>
      </w:r>
      <w:r w:rsidRPr="00AA2832">
        <w:rPr>
          <w:rFonts w:ascii="Arial" w:hAnsi="Arial" w:cs="Arial"/>
          <w:i/>
          <w:iCs/>
          <w:sz w:val="30"/>
          <w:szCs w:val="30"/>
        </w:rPr>
        <w:t xml:space="preserve">Тому, кто живет в стеклянном доме </w:t>
      </w:r>
      <w:proofErr w:type="spellStart"/>
      <w:r w:rsidRPr="00AA2832">
        <w:rPr>
          <w:rFonts w:ascii="Arial" w:hAnsi="Arial" w:cs="Arial"/>
          <w:i/>
          <w:iCs/>
          <w:sz w:val="30"/>
          <w:szCs w:val="30"/>
        </w:rPr>
        <w:t>углеродоемкого</w:t>
      </w:r>
      <w:proofErr w:type="spellEnd"/>
      <w:r w:rsidRPr="00AA2832">
        <w:rPr>
          <w:rFonts w:ascii="Arial" w:hAnsi="Arial" w:cs="Arial"/>
          <w:i/>
          <w:iCs/>
          <w:sz w:val="30"/>
          <w:szCs w:val="30"/>
        </w:rPr>
        <w:t xml:space="preserve"> экспорта, нельзя кидаться камнями пренебрежения к климатической политике других стран. Нужно сотрудничество и скоординированные действия</w:t>
      </w:r>
      <w:r w:rsidR="000E39EB" w:rsidRPr="00AA2832">
        <w:rPr>
          <w:rFonts w:ascii="Arial" w:hAnsi="Arial" w:cs="Arial"/>
          <w:i/>
          <w:iCs/>
          <w:sz w:val="30"/>
          <w:szCs w:val="30"/>
        </w:rPr>
        <w:t>, а это возможно только при условии</w:t>
      </w:r>
      <w:r w:rsidRPr="00AA2832">
        <w:rPr>
          <w:rFonts w:ascii="Arial" w:hAnsi="Arial" w:cs="Arial"/>
          <w:i/>
          <w:iCs/>
          <w:sz w:val="30"/>
          <w:szCs w:val="30"/>
        </w:rPr>
        <w:t xml:space="preserve"> собственных активных мер по снижению выбросов СО</w:t>
      </w:r>
      <w:proofErr w:type="gramStart"/>
      <w:r w:rsidRPr="00AA2832">
        <w:rPr>
          <w:rFonts w:ascii="Arial" w:hAnsi="Arial" w:cs="Arial"/>
          <w:i/>
          <w:iCs/>
          <w:vertAlign w:val="subscript"/>
        </w:rPr>
        <w:t>2</w:t>
      </w:r>
      <w:proofErr w:type="gramEnd"/>
      <w:r w:rsidRPr="00AA2832">
        <w:rPr>
          <w:rFonts w:ascii="Arial" w:hAnsi="Arial" w:cs="Arial"/>
          <w:i/>
          <w:iCs/>
          <w:sz w:val="30"/>
          <w:szCs w:val="30"/>
        </w:rPr>
        <w:t xml:space="preserve"> и других парниковых газов</w:t>
      </w:r>
      <w:r w:rsidRPr="00AA2832">
        <w:rPr>
          <w:rFonts w:ascii="Arial" w:hAnsi="Arial" w:cs="Arial"/>
          <w:sz w:val="30"/>
          <w:szCs w:val="30"/>
        </w:rPr>
        <w:t>», - добавляет Алексей Кокорин</w:t>
      </w:r>
    </w:p>
    <w:p w:rsidR="00AA2832" w:rsidRDefault="008A7F58" w:rsidP="008A7F58">
      <w:pPr>
        <w:rPr>
          <w:rFonts w:ascii="Arial" w:hAnsi="Arial" w:cs="Arial"/>
          <w:color w:val="1F497D"/>
          <w:lang w:val="en-US"/>
        </w:rPr>
      </w:pPr>
      <w:r w:rsidRPr="00AA2832">
        <w:rPr>
          <w:rFonts w:ascii="Arial" w:hAnsi="Arial" w:cs="Arial"/>
          <w:sz w:val="26"/>
          <w:szCs w:val="26"/>
        </w:rPr>
        <w:t>Исследование имеется на сайте</w:t>
      </w:r>
      <w:proofErr w:type="gramStart"/>
      <w:r w:rsidRPr="00AA2832">
        <w:rPr>
          <w:rFonts w:ascii="Arial" w:hAnsi="Arial" w:cs="Arial"/>
          <w:sz w:val="26"/>
          <w:szCs w:val="26"/>
        </w:rPr>
        <w:t xml:space="preserve"> </w:t>
      </w:r>
      <w:r w:rsidR="00AA2832">
        <w:rPr>
          <w:rFonts w:ascii="Arial" w:hAnsi="Arial" w:cs="Arial"/>
          <w:color w:val="1F497D"/>
        </w:rPr>
        <w:t>:</w:t>
      </w:r>
      <w:proofErr w:type="gramEnd"/>
      <w:r w:rsidR="00AA2832">
        <w:rPr>
          <w:rFonts w:ascii="Arial" w:hAnsi="Arial" w:cs="Arial"/>
          <w:color w:val="1F497D"/>
        </w:rPr>
        <w:t xml:space="preserve"> </w:t>
      </w:r>
      <w:hyperlink r:id="rId5" w:history="1">
        <w:r w:rsidR="00AA2832">
          <w:rPr>
            <w:rStyle w:val="a3"/>
            <w:rFonts w:ascii="Arial" w:hAnsi="Arial" w:cs="Arial"/>
          </w:rPr>
          <w:t>http://www.wwf.ru/resources/publ/book/847</w:t>
        </w:r>
      </w:hyperlink>
    </w:p>
    <w:p w:rsidR="00AA2832" w:rsidRDefault="00AA2832" w:rsidP="008A7F58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730AD5" w:rsidRPr="008A7F58" w:rsidRDefault="008A7F58" w:rsidP="008A7F58">
      <w:bookmarkStart w:id="0" w:name="_GoBack"/>
      <w:bookmarkEnd w:id="0"/>
      <w:r w:rsidRPr="00AA2832">
        <w:rPr>
          <w:rFonts w:ascii="Arial" w:hAnsi="Arial" w:cs="Arial"/>
          <w:b/>
          <w:bCs/>
          <w:sz w:val="26"/>
          <w:szCs w:val="26"/>
        </w:rPr>
        <w:t xml:space="preserve">Пискулова Н.А., Костюнина Г.М., Абрамова А.В. Климатическая политика основных торговых партнеров России и ее влияние на экспорт ряда российских регионов </w:t>
      </w:r>
      <w:r w:rsidRPr="00AA2832">
        <w:rPr>
          <w:rFonts w:ascii="Arial" w:hAnsi="Arial" w:cs="Arial"/>
          <w:sz w:val="26"/>
          <w:szCs w:val="26"/>
        </w:rPr>
        <w:t>— М.: Всемирный фонд дикой природы (</w:t>
      </w:r>
      <w:r>
        <w:rPr>
          <w:rFonts w:ascii="Arial" w:hAnsi="Arial" w:cs="Arial"/>
          <w:sz w:val="26"/>
          <w:szCs w:val="26"/>
          <w:lang w:val="en-US"/>
        </w:rPr>
        <w:t>WWF</w:t>
      </w:r>
      <w:r w:rsidRPr="00AA2832">
        <w:rPr>
          <w:rFonts w:ascii="Arial" w:hAnsi="Arial" w:cs="Arial"/>
          <w:sz w:val="26"/>
          <w:szCs w:val="26"/>
        </w:rPr>
        <w:t>), 2013 г. — 223 с.</w:t>
      </w:r>
    </w:p>
    <w:sectPr w:rsidR="00730AD5" w:rsidRPr="008A7F58" w:rsidSect="00AA2832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8"/>
    <w:rsid w:val="000E39EB"/>
    <w:rsid w:val="00730AD5"/>
    <w:rsid w:val="008A7F58"/>
    <w:rsid w:val="00A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wf.ru/resources/publ/book/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Vinokurova</dc:creator>
  <cp:lastModifiedBy>Alexey Kokorin</cp:lastModifiedBy>
  <cp:revision>2</cp:revision>
  <dcterms:created xsi:type="dcterms:W3CDTF">2013-09-12T08:32:00Z</dcterms:created>
  <dcterms:modified xsi:type="dcterms:W3CDTF">2013-09-12T08:32:00Z</dcterms:modified>
</cp:coreProperties>
</file>