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B1" w:rsidRPr="001E23FD" w:rsidRDefault="001E23FD" w:rsidP="001E23FD">
      <w:pPr>
        <w:pStyle w:val="af6"/>
        <w:rPr>
          <w:caps/>
          <w:lang w:val="ru-RU"/>
        </w:rPr>
      </w:pPr>
      <w:r w:rsidRPr="001E23FD">
        <w:rPr>
          <w:caps/>
          <w:lang w:val="ru-RU"/>
        </w:rPr>
        <w:t>р</w:t>
      </w:r>
      <w:r w:rsidR="00950DB1" w:rsidRPr="001E23FD">
        <w:rPr>
          <w:caps/>
          <w:lang w:val="ru-RU"/>
        </w:rPr>
        <w:t xml:space="preserve">егулирование </w:t>
      </w:r>
      <w:r w:rsidRPr="001E23FD">
        <w:rPr>
          <w:caps/>
          <w:lang w:val="ru-RU"/>
        </w:rPr>
        <w:t>парниковых выбросов</w:t>
      </w:r>
      <w:r w:rsidR="00950DB1" w:rsidRPr="001E23FD">
        <w:rPr>
          <w:caps/>
          <w:lang w:val="ru-RU"/>
        </w:rPr>
        <w:t>: РИСКИ И ВОЗМОЖНОСТИ ДЛЯ социально-экономического развития РОССИИ</w:t>
      </w:r>
    </w:p>
    <w:p w:rsidR="001E23FD" w:rsidRDefault="001E23FD">
      <w:pPr>
        <w:tabs>
          <w:tab w:val="left" w:pos="6684"/>
        </w:tabs>
        <w:spacing w:after="120" w:line="240" w:lineRule="auto"/>
        <w:rPr>
          <w:rFonts w:ascii="Times New Roman" w:hAnsi="Times New Roman"/>
          <w:b/>
          <w:sz w:val="24"/>
          <w:szCs w:val="24"/>
          <w:lang w:val="ru-RU"/>
        </w:rPr>
      </w:pPr>
    </w:p>
    <w:p w:rsidR="00126052" w:rsidRPr="00E3084C" w:rsidRDefault="00126052" w:rsidP="004F3399">
      <w:pPr>
        <w:jc w:val="both"/>
        <w:rPr>
          <w:rFonts w:ascii="Times New Roman" w:hAnsi="Times New Roman"/>
          <w:i/>
          <w:sz w:val="24"/>
          <w:szCs w:val="24"/>
          <w:lang w:val="ru-RU"/>
        </w:rPr>
      </w:pPr>
      <w:r w:rsidRPr="00E3084C">
        <w:rPr>
          <w:rFonts w:ascii="Times New Roman" w:hAnsi="Times New Roman"/>
          <w:i/>
          <w:sz w:val="24"/>
          <w:szCs w:val="24"/>
          <w:lang w:val="ru-RU"/>
        </w:rPr>
        <w:t xml:space="preserve">Обсуждение возможностей создания и развития системы регулирования парниковых выбросов, </w:t>
      </w:r>
      <w:proofErr w:type="gramStart"/>
      <w:r w:rsidRPr="00E3084C">
        <w:rPr>
          <w:rFonts w:ascii="Times New Roman" w:hAnsi="Times New Roman"/>
          <w:i/>
          <w:sz w:val="24"/>
          <w:szCs w:val="24"/>
          <w:lang w:val="ru-RU"/>
        </w:rPr>
        <w:t>экономических механизмов</w:t>
      </w:r>
      <w:proofErr w:type="gramEnd"/>
      <w:r w:rsidRPr="00E3084C">
        <w:rPr>
          <w:rFonts w:ascii="Times New Roman" w:hAnsi="Times New Roman"/>
          <w:i/>
          <w:sz w:val="24"/>
          <w:szCs w:val="24"/>
          <w:lang w:val="ru-RU"/>
        </w:rPr>
        <w:t xml:space="preserve"> контроля парниковых выбросов, а, в конечном счете, создания системы торговли </w:t>
      </w:r>
      <w:r w:rsidR="004F3399" w:rsidRPr="00E3084C">
        <w:rPr>
          <w:rFonts w:ascii="Times New Roman" w:hAnsi="Times New Roman"/>
          <w:i/>
          <w:sz w:val="24"/>
          <w:szCs w:val="24"/>
          <w:lang w:val="ru-RU"/>
        </w:rPr>
        <w:t>парниковыми</w:t>
      </w:r>
      <w:r w:rsidRPr="00E3084C">
        <w:rPr>
          <w:rFonts w:ascii="Times New Roman" w:hAnsi="Times New Roman"/>
          <w:i/>
          <w:sz w:val="24"/>
          <w:szCs w:val="24"/>
          <w:lang w:val="ru-RU"/>
        </w:rPr>
        <w:t xml:space="preserve"> эмиссиями в России ведется уже не один год</w:t>
      </w:r>
      <w:r w:rsidR="004F3399" w:rsidRPr="00E3084C">
        <w:rPr>
          <w:rFonts w:ascii="Times New Roman" w:hAnsi="Times New Roman"/>
          <w:i/>
          <w:sz w:val="24"/>
          <w:szCs w:val="24"/>
          <w:lang w:val="ru-RU"/>
        </w:rPr>
        <w:t>. В свое время была попытка создать такую систему к 2007 г.</w:t>
      </w:r>
      <w:r w:rsidR="000F5809" w:rsidRPr="00E3084C">
        <w:rPr>
          <w:rFonts w:ascii="Times New Roman" w:hAnsi="Times New Roman"/>
          <w:i/>
          <w:sz w:val="24"/>
          <w:szCs w:val="24"/>
          <w:lang w:val="ru-RU"/>
        </w:rPr>
        <w:t xml:space="preserve"> </w:t>
      </w:r>
      <w:r w:rsidR="004F3399" w:rsidRPr="00E3084C">
        <w:rPr>
          <w:rFonts w:ascii="Times New Roman" w:hAnsi="Times New Roman"/>
          <w:i/>
          <w:sz w:val="24"/>
          <w:szCs w:val="24"/>
          <w:lang w:val="ru-RU"/>
        </w:rPr>
        <w:t>Э</w:t>
      </w:r>
      <w:r w:rsidRPr="00E3084C">
        <w:rPr>
          <w:rFonts w:ascii="Times New Roman" w:hAnsi="Times New Roman"/>
          <w:i/>
          <w:sz w:val="24"/>
          <w:szCs w:val="24"/>
          <w:lang w:val="ru-RU"/>
        </w:rPr>
        <w:t xml:space="preserve">та тема </w:t>
      </w:r>
      <w:r w:rsidR="004F3399" w:rsidRPr="00E3084C">
        <w:rPr>
          <w:rFonts w:ascii="Times New Roman" w:hAnsi="Times New Roman"/>
          <w:i/>
          <w:sz w:val="24"/>
          <w:szCs w:val="24"/>
          <w:lang w:val="ru-RU"/>
        </w:rPr>
        <w:t>традиционно</w:t>
      </w:r>
      <w:r w:rsidRPr="00E3084C">
        <w:rPr>
          <w:rFonts w:ascii="Times New Roman" w:hAnsi="Times New Roman"/>
          <w:i/>
          <w:sz w:val="24"/>
          <w:szCs w:val="24"/>
          <w:lang w:val="ru-RU"/>
        </w:rPr>
        <w:t xml:space="preserve"> не поддерживалась на государственном уровне, а вернее сказать, никогда не поль</w:t>
      </w:r>
      <w:r w:rsidR="004F3399" w:rsidRPr="00E3084C">
        <w:rPr>
          <w:rFonts w:ascii="Times New Roman" w:hAnsi="Times New Roman"/>
          <w:i/>
          <w:sz w:val="24"/>
          <w:szCs w:val="24"/>
          <w:lang w:val="ru-RU"/>
        </w:rPr>
        <w:t>зовалась на этом уровне сколько-</w:t>
      </w:r>
      <w:r w:rsidRPr="00E3084C">
        <w:rPr>
          <w:rFonts w:ascii="Times New Roman" w:hAnsi="Times New Roman"/>
          <w:i/>
          <w:sz w:val="24"/>
          <w:szCs w:val="24"/>
          <w:lang w:val="ru-RU"/>
        </w:rPr>
        <w:t>нибудь  серьезным вниманием</w:t>
      </w:r>
      <w:r w:rsidR="004F3399" w:rsidRPr="00E3084C">
        <w:rPr>
          <w:rFonts w:ascii="Times New Roman" w:hAnsi="Times New Roman"/>
          <w:i/>
          <w:sz w:val="24"/>
          <w:szCs w:val="24"/>
          <w:lang w:val="ru-RU"/>
        </w:rPr>
        <w:t>, вызывая в лучшем случае насмешливое изумление</w:t>
      </w:r>
      <w:r w:rsidRPr="00E3084C">
        <w:rPr>
          <w:rFonts w:ascii="Times New Roman" w:hAnsi="Times New Roman"/>
          <w:i/>
          <w:sz w:val="24"/>
          <w:szCs w:val="24"/>
          <w:lang w:val="ru-RU"/>
        </w:rPr>
        <w:t>.</w:t>
      </w:r>
      <w:r w:rsidR="000F5809" w:rsidRPr="00E3084C">
        <w:rPr>
          <w:rFonts w:ascii="Times New Roman" w:hAnsi="Times New Roman"/>
          <w:i/>
          <w:sz w:val="24"/>
          <w:szCs w:val="24"/>
          <w:lang w:val="ru-RU"/>
        </w:rPr>
        <w:t xml:space="preserve"> Но сегодня от нее уже невозможно </w:t>
      </w:r>
      <w:proofErr w:type="gramStart"/>
      <w:r w:rsidR="000F5809" w:rsidRPr="00E3084C">
        <w:rPr>
          <w:rFonts w:ascii="Times New Roman" w:hAnsi="Times New Roman"/>
          <w:i/>
          <w:sz w:val="24"/>
          <w:szCs w:val="24"/>
          <w:lang w:val="ru-RU"/>
        </w:rPr>
        <w:t>отмахнуться</w:t>
      </w:r>
      <w:proofErr w:type="gramEnd"/>
      <w:r w:rsidR="000F5809" w:rsidRPr="00E3084C">
        <w:rPr>
          <w:rFonts w:ascii="Times New Roman" w:hAnsi="Times New Roman"/>
          <w:i/>
          <w:sz w:val="24"/>
          <w:szCs w:val="24"/>
          <w:lang w:val="ru-RU"/>
        </w:rPr>
        <w:t xml:space="preserve"> ни на встрече мировых лидеров, ни серьезному энергоемкому бизнесу. Даже финансовое структурирование крупных проектов не может ее обойти. Это вызывает надежду, что </w:t>
      </w:r>
      <w:r w:rsidR="00E3084C" w:rsidRPr="00E3084C">
        <w:rPr>
          <w:rFonts w:ascii="Times New Roman" w:hAnsi="Times New Roman"/>
          <w:i/>
          <w:sz w:val="24"/>
          <w:szCs w:val="24"/>
          <w:lang w:val="ru-RU"/>
        </w:rPr>
        <w:t>з</w:t>
      </w:r>
      <w:r w:rsidR="00DE1ED2">
        <w:rPr>
          <w:rFonts w:ascii="Times New Roman" w:hAnsi="Times New Roman"/>
          <w:i/>
          <w:sz w:val="24"/>
          <w:szCs w:val="24"/>
          <w:lang w:val="ru-RU"/>
        </w:rPr>
        <w:t>а</w:t>
      </w:r>
      <w:r w:rsidR="00E3084C" w:rsidRPr="00E3084C">
        <w:rPr>
          <w:rFonts w:ascii="Times New Roman" w:hAnsi="Times New Roman"/>
          <w:i/>
          <w:sz w:val="24"/>
          <w:szCs w:val="24"/>
          <w:lang w:val="ru-RU"/>
        </w:rPr>
        <w:t xml:space="preserve"> изменением отношения к теме регулирования парниковых выбросов последуют расчетливые, продуманные, но решительные и масштабные практические шаги</w:t>
      </w:r>
      <w:r w:rsidRPr="00E3084C">
        <w:rPr>
          <w:rFonts w:ascii="Times New Roman" w:hAnsi="Times New Roman"/>
          <w:i/>
          <w:sz w:val="24"/>
          <w:szCs w:val="24"/>
          <w:lang w:val="ru-RU"/>
        </w:rPr>
        <w:t>.</w:t>
      </w:r>
    </w:p>
    <w:p w:rsidR="008611E8" w:rsidRDefault="008611E8">
      <w:pPr>
        <w:tabs>
          <w:tab w:val="left" w:pos="6684"/>
        </w:tabs>
        <w:spacing w:after="120" w:line="240" w:lineRule="auto"/>
        <w:rPr>
          <w:rFonts w:ascii="Times New Roman" w:hAnsi="Times New Roman"/>
          <w:b/>
          <w:sz w:val="24"/>
          <w:szCs w:val="24"/>
          <w:lang w:val="ru-RU"/>
        </w:rPr>
      </w:pPr>
    </w:p>
    <w:p w:rsidR="000D272B" w:rsidRDefault="000D272B" w:rsidP="000D272B">
      <w:pPr>
        <w:pStyle w:val="2"/>
        <w:rPr>
          <w:rFonts w:ascii="Times New Roman" w:hAnsi="Times New Roman"/>
          <w:color w:val="auto"/>
          <w:lang w:val="ru-RU"/>
        </w:rPr>
      </w:pPr>
      <w:r w:rsidRPr="001E23FD">
        <w:rPr>
          <w:rFonts w:ascii="Times New Roman" w:hAnsi="Times New Roman"/>
          <w:color w:val="auto"/>
          <w:lang w:val="ru-RU"/>
        </w:rPr>
        <w:t xml:space="preserve">Политические и экономические факторы риска </w:t>
      </w:r>
    </w:p>
    <w:p w:rsidR="000D272B" w:rsidRPr="008611E8" w:rsidRDefault="000D272B" w:rsidP="000D272B">
      <w:pPr>
        <w:rPr>
          <w:lang w:val="ru-RU"/>
        </w:rPr>
      </w:pPr>
    </w:p>
    <w:p w:rsidR="000D272B" w:rsidRPr="004D4384" w:rsidRDefault="000D272B" w:rsidP="000D272B">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За последнее десятилетие проблема глобального изменения климата стала значимым фактором международной политики и конкурентной борьбы на мировых рынках. </w:t>
      </w:r>
    </w:p>
    <w:p w:rsidR="000D272B" w:rsidRDefault="000D272B" w:rsidP="000D272B">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Международные инициативы, резолюции, предлагающие радикальное (на 50 –80% к 2050 году) сокращение выбросов парниковых газов в атмосферу (решения саммитов «Группы</w:t>
      </w:r>
      <w:proofErr w:type="gramStart"/>
      <w:r w:rsidRPr="004D4384">
        <w:rPr>
          <w:rFonts w:ascii="Times New Roman" w:hAnsi="Times New Roman"/>
          <w:sz w:val="24"/>
          <w:szCs w:val="24"/>
          <w:lang w:val="ru-RU"/>
        </w:rPr>
        <w:t xml:space="preserve"> В</w:t>
      </w:r>
      <w:proofErr w:type="gramEnd"/>
      <w:r w:rsidRPr="004D4384">
        <w:rPr>
          <w:rFonts w:ascii="Times New Roman" w:hAnsi="Times New Roman"/>
          <w:sz w:val="24"/>
          <w:szCs w:val="24"/>
          <w:lang w:val="ru-RU"/>
        </w:rPr>
        <w:t xml:space="preserve">осьми» и «Большой двадцатки», Копенгагенское соглашение 2009 г. и др.), лежат в русле усиливающейся тенденции к пересмотру  стратегических направлений развития энергетики, промышленности, приоритетов технологического развития. На повестке дня ведущих государств мира – переход к «низкоуглеродной» экономике в </w:t>
      </w:r>
      <w:proofErr w:type="gramStart"/>
      <w:r w:rsidRPr="004D4384">
        <w:rPr>
          <w:rFonts w:ascii="Times New Roman" w:hAnsi="Times New Roman"/>
          <w:sz w:val="24"/>
          <w:szCs w:val="24"/>
          <w:lang w:val="ru-RU"/>
        </w:rPr>
        <w:t>ближайшие</w:t>
      </w:r>
      <w:proofErr w:type="gramEnd"/>
      <w:r w:rsidRPr="004D4384">
        <w:rPr>
          <w:rFonts w:ascii="Times New Roman" w:hAnsi="Times New Roman"/>
          <w:sz w:val="24"/>
          <w:szCs w:val="24"/>
          <w:lang w:val="ru-RU"/>
        </w:rPr>
        <w:t xml:space="preserve"> 10 – 20 лет. </w:t>
      </w:r>
    </w:p>
    <w:p w:rsidR="000D272B" w:rsidRPr="004D4384" w:rsidRDefault="000D272B" w:rsidP="000D272B">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Особенно последовательной с этой точки зрения выглядит климатическая политика Евросоюза, где уже с 2005 года применяется механизм торговли квотами на выброс СО</w:t>
      </w:r>
      <w:proofErr w:type="gramStart"/>
      <w:r w:rsidRPr="004D4384">
        <w:rPr>
          <w:rFonts w:ascii="Times New Roman" w:hAnsi="Times New Roman"/>
          <w:sz w:val="24"/>
          <w:szCs w:val="24"/>
          <w:vertAlign w:val="subscript"/>
          <w:lang w:val="ru-RU"/>
        </w:rPr>
        <w:t>2</w:t>
      </w:r>
      <w:proofErr w:type="gramEnd"/>
      <w:r w:rsidRPr="004D4384">
        <w:rPr>
          <w:rFonts w:ascii="Times New Roman" w:hAnsi="Times New Roman"/>
          <w:sz w:val="24"/>
          <w:szCs w:val="24"/>
          <w:lang w:val="ru-RU"/>
        </w:rPr>
        <w:t>. Из известных финансово-</w:t>
      </w:r>
      <w:proofErr w:type="gramStart"/>
      <w:r w:rsidRPr="004D4384">
        <w:rPr>
          <w:rFonts w:ascii="Times New Roman" w:hAnsi="Times New Roman"/>
          <w:sz w:val="24"/>
          <w:szCs w:val="24"/>
          <w:lang w:val="ru-RU"/>
        </w:rPr>
        <w:t>экономических механизмов</w:t>
      </w:r>
      <w:proofErr w:type="gramEnd"/>
      <w:r w:rsidRPr="004D4384">
        <w:rPr>
          <w:rFonts w:ascii="Times New Roman" w:hAnsi="Times New Roman"/>
          <w:sz w:val="24"/>
          <w:szCs w:val="24"/>
          <w:lang w:val="ru-RU"/>
        </w:rPr>
        <w:t xml:space="preserve">  именно этот максимально эффективно обеспечивает точное выполнение обязательств наиболее рациональным путем. В рамках ЕС механизм является инструментом выполнения международных обязательств, осуществления</w:t>
      </w:r>
      <w:r>
        <w:rPr>
          <w:rFonts w:ascii="Times New Roman" w:hAnsi="Times New Roman"/>
          <w:sz w:val="24"/>
          <w:szCs w:val="24"/>
          <w:lang w:val="ru-RU"/>
        </w:rPr>
        <w:t xml:space="preserve"> не только экологической, но и</w:t>
      </w:r>
      <w:r w:rsidRPr="004D4384">
        <w:rPr>
          <w:rFonts w:ascii="Times New Roman" w:hAnsi="Times New Roman"/>
          <w:sz w:val="24"/>
          <w:szCs w:val="24"/>
          <w:lang w:val="ru-RU"/>
        </w:rPr>
        <w:t xml:space="preserve"> энергетической и промышленно-технической политики, но и инструментом изъятия части природной ренты</w:t>
      </w:r>
      <w:r>
        <w:rPr>
          <w:rFonts w:ascii="Times New Roman" w:hAnsi="Times New Roman"/>
          <w:sz w:val="24"/>
          <w:szCs w:val="24"/>
          <w:lang w:val="ru-RU"/>
        </w:rPr>
        <w:t xml:space="preserve"> за пользование </w:t>
      </w:r>
      <w:proofErr w:type="spellStart"/>
      <w:r>
        <w:rPr>
          <w:rFonts w:ascii="Times New Roman" w:hAnsi="Times New Roman"/>
          <w:sz w:val="24"/>
          <w:szCs w:val="24"/>
          <w:lang w:val="ru-RU"/>
        </w:rPr>
        <w:t>невозобновляемыми</w:t>
      </w:r>
      <w:proofErr w:type="spellEnd"/>
      <w:r>
        <w:rPr>
          <w:rFonts w:ascii="Times New Roman" w:hAnsi="Times New Roman"/>
          <w:sz w:val="24"/>
          <w:szCs w:val="24"/>
          <w:lang w:val="ru-RU"/>
        </w:rPr>
        <w:t xml:space="preserve"> природными ресурсами</w:t>
      </w:r>
      <w:r w:rsidRPr="004D4384">
        <w:rPr>
          <w:rFonts w:ascii="Times New Roman" w:hAnsi="Times New Roman"/>
          <w:sz w:val="24"/>
          <w:szCs w:val="24"/>
          <w:lang w:val="ru-RU"/>
        </w:rPr>
        <w:t>.</w:t>
      </w:r>
    </w:p>
    <w:p w:rsidR="000D272B" w:rsidRDefault="000D272B" w:rsidP="000D272B">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Нельзя не учитывать эти тенденции в стратегии развития экономики России, которая по-прежнему в значительной степени опирается на добычу и экспорт сырья, углеводородов, энергоносителей. Уже сегодня именно часть российской природной ренты на ископаемое топливо изымается в рамках европейской системы торговли парниковыми эмиссиями</w:t>
      </w:r>
      <w:r>
        <w:rPr>
          <w:rFonts w:ascii="Times New Roman" w:hAnsi="Times New Roman"/>
          <w:sz w:val="24"/>
          <w:szCs w:val="24"/>
          <w:lang w:val="ru-RU"/>
        </w:rPr>
        <w:t xml:space="preserve"> (ЕТС)</w:t>
      </w:r>
      <w:r w:rsidRPr="004D4384">
        <w:rPr>
          <w:rFonts w:ascii="Times New Roman" w:hAnsi="Times New Roman"/>
          <w:sz w:val="24"/>
          <w:szCs w:val="24"/>
          <w:lang w:val="ru-RU"/>
        </w:rPr>
        <w:t>, поскольк</w:t>
      </w:r>
      <w:r>
        <w:rPr>
          <w:rFonts w:ascii="Times New Roman" w:hAnsi="Times New Roman"/>
          <w:sz w:val="24"/>
          <w:szCs w:val="24"/>
          <w:lang w:val="ru-RU"/>
        </w:rPr>
        <w:t>у покупатели ископаемого топлива</w:t>
      </w:r>
      <w:r w:rsidRPr="004D4384">
        <w:rPr>
          <w:rFonts w:ascii="Times New Roman" w:hAnsi="Times New Roman"/>
          <w:sz w:val="24"/>
          <w:szCs w:val="24"/>
          <w:lang w:val="ru-RU"/>
        </w:rPr>
        <w:t xml:space="preserve"> вынуждены приобретать и </w:t>
      </w:r>
      <w:r w:rsidRPr="004D4384">
        <w:rPr>
          <w:rFonts w:ascii="Times New Roman" w:hAnsi="Times New Roman"/>
          <w:sz w:val="24"/>
          <w:szCs w:val="24"/>
          <w:lang w:val="ru-RU"/>
        </w:rPr>
        <w:lastRenderedPageBreak/>
        <w:t>права на соответствующее количество эмиссий парниковых газов. Это признают и сами европейские исследователи</w:t>
      </w:r>
      <w:r w:rsidRPr="004D4384">
        <w:rPr>
          <w:rStyle w:val="ad"/>
          <w:rFonts w:ascii="Times New Roman" w:hAnsi="Times New Roman"/>
          <w:sz w:val="24"/>
          <w:szCs w:val="24"/>
          <w:lang w:val="ru-RU"/>
        </w:rPr>
        <w:footnoteReference w:id="1"/>
      </w:r>
      <w:r w:rsidRPr="004D4384">
        <w:rPr>
          <w:rFonts w:ascii="Times New Roman" w:hAnsi="Times New Roman"/>
          <w:sz w:val="24"/>
          <w:szCs w:val="24"/>
          <w:lang w:val="ru-RU"/>
        </w:rPr>
        <w:t xml:space="preserve"> </w:t>
      </w:r>
      <w:r>
        <w:rPr>
          <w:rFonts w:ascii="Times New Roman" w:hAnsi="Times New Roman"/>
          <w:sz w:val="24"/>
          <w:szCs w:val="24"/>
          <w:lang w:val="ru-RU"/>
        </w:rPr>
        <w:t xml:space="preserve"> </w:t>
      </w:r>
    </w:p>
    <w:p w:rsidR="000D272B" w:rsidRPr="006D56E1"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Следующим логическим шагом на этом пути может стать  та или иная форма ренты с углеродного содержания высокоэнергоемких импортных товаров.</w:t>
      </w:r>
      <w:r w:rsidRPr="00AD3589">
        <w:rPr>
          <w:rFonts w:ascii="Times New Roman" w:hAnsi="Times New Roman"/>
          <w:sz w:val="24"/>
          <w:szCs w:val="24"/>
          <w:lang w:val="ru-RU"/>
        </w:rPr>
        <w:t xml:space="preserve"> </w:t>
      </w:r>
    </w:p>
    <w:p w:rsidR="000D272B" w:rsidRPr="00AD3589"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Сама по себе природная рента за пользование </w:t>
      </w:r>
      <w:proofErr w:type="spellStart"/>
      <w:r>
        <w:rPr>
          <w:rFonts w:ascii="Times New Roman" w:hAnsi="Times New Roman"/>
          <w:sz w:val="24"/>
          <w:szCs w:val="24"/>
          <w:lang w:val="ru-RU"/>
        </w:rPr>
        <w:t>невозобновляемыми</w:t>
      </w:r>
      <w:proofErr w:type="spellEnd"/>
      <w:r>
        <w:rPr>
          <w:rFonts w:ascii="Times New Roman" w:hAnsi="Times New Roman"/>
          <w:sz w:val="24"/>
          <w:szCs w:val="24"/>
          <w:lang w:val="ru-RU"/>
        </w:rPr>
        <w:t xml:space="preserve"> ресурсами имеет глубокое экологическое обоснование и полностью оправдана с точки зрения идеологии устойчивого развития. Более того, по мере истощения запасов углеводородного топлива она должна расти, заставляя потребителей постепенно переходить на альтернативные, возобновляемые источники энергии. В преддверии 20-летия Конференции по устойчивому развитию в Рио-де-Жанейро эта идеология как никогда актуальна. В русле концепции устойчивого развития растущая цена пользования углеводородным топливом вполне логична.</w:t>
      </w:r>
    </w:p>
    <w:p w:rsidR="000D272B" w:rsidRPr="004D4384"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Товаром на углеродном рынке являются права на выбросы парниковых газов, то есть, по сути, права на потребление </w:t>
      </w:r>
      <w:proofErr w:type="spellStart"/>
      <w:r>
        <w:rPr>
          <w:rFonts w:ascii="Times New Roman" w:hAnsi="Times New Roman"/>
          <w:sz w:val="24"/>
          <w:szCs w:val="24"/>
          <w:lang w:val="ru-RU"/>
        </w:rPr>
        <w:t>невозобновляемых</w:t>
      </w:r>
      <w:proofErr w:type="spellEnd"/>
      <w:r>
        <w:rPr>
          <w:rFonts w:ascii="Times New Roman" w:hAnsi="Times New Roman"/>
          <w:sz w:val="24"/>
          <w:szCs w:val="24"/>
          <w:lang w:val="ru-RU"/>
        </w:rPr>
        <w:t xml:space="preserve"> энергоресурсов, ископаемого углеводородного топлива или электроэнергии, произведенной при его сжигании. Являясь крупнейшим производителем, поставщиком, экспортером </w:t>
      </w:r>
      <w:proofErr w:type="spellStart"/>
      <w:r>
        <w:rPr>
          <w:rFonts w:ascii="Times New Roman" w:hAnsi="Times New Roman"/>
          <w:sz w:val="24"/>
          <w:szCs w:val="24"/>
          <w:lang w:val="ru-RU"/>
        </w:rPr>
        <w:t>невозобновляемых</w:t>
      </w:r>
      <w:proofErr w:type="spellEnd"/>
      <w:r>
        <w:rPr>
          <w:rFonts w:ascii="Times New Roman" w:hAnsi="Times New Roman"/>
          <w:sz w:val="24"/>
          <w:szCs w:val="24"/>
          <w:lang w:val="ru-RU"/>
        </w:rPr>
        <w:t xml:space="preserve"> энергоресурсов, но, не участвуя в рыночных механизмах, Россия, по существу, самоустраняется из процесса перераспределения прав на использование своей нефти, угля, газа, электроэнергии во внешнем мире и не использует мощный рычаг энергетической, промышленно-технологической политики внутри страны.</w:t>
      </w:r>
    </w:p>
    <w:p w:rsidR="000D272B" w:rsidRDefault="000D272B" w:rsidP="000D272B">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Активную политику по снижению выбросов углерода проводят Япония, Австралия, Новая Зеландия, целый ряд штатов США (лидер – Калифорния), Южная Корея</w:t>
      </w:r>
      <w:r>
        <w:rPr>
          <w:rFonts w:ascii="Times New Roman" w:hAnsi="Times New Roman"/>
          <w:sz w:val="24"/>
          <w:szCs w:val="24"/>
          <w:lang w:val="ru-RU"/>
        </w:rPr>
        <w:t>, Тайвань</w:t>
      </w:r>
      <w:r w:rsidRPr="004D4384">
        <w:rPr>
          <w:rFonts w:ascii="Times New Roman" w:hAnsi="Times New Roman"/>
          <w:sz w:val="24"/>
          <w:szCs w:val="24"/>
          <w:lang w:val="ru-RU"/>
        </w:rPr>
        <w:t xml:space="preserve"> и другие. Широкомасштабные проекты по снижению выбросов и общенациональные программы разрабатываются и реализуются в Китае, Индии, Мексике, Бразилии, Украине и других странах.</w:t>
      </w:r>
    </w:p>
    <w:p w:rsidR="000D272B" w:rsidRPr="003C51BD"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Страны </w:t>
      </w:r>
      <w:proofErr w:type="spellStart"/>
      <w:r>
        <w:rPr>
          <w:rFonts w:ascii="Times New Roman" w:hAnsi="Times New Roman"/>
          <w:sz w:val="24"/>
          <w:szCs w:val="24"/>
          <w:lang w:val="ru-RU"/>
        </w:rPr>
        <w:t>АТЭС</w:t>
      </w:r>
      <w:proofErr w:type="spellEnd"/>
      <w:r w:rsidRPr="003C51BD">
        <w:rPr>
          <w:rFonts w:ascii="Times New Roman" w:hAnsi="Times New Roman"/>
          <w:sz w:val="24"/>
          <w:szCs w:val="24"/>
          <w:lang w:val="ru-RU"/>
        </w:rPr>
        <w:t xml:space="preserve"> </w:t>
      </w:r>
      <w:r>
        <w:rPr>
          <w:rFonts w:ascii="Times New Roman" w:hAnsi="Times New Roman"/>
          <w:sz w:val="24"/>
          <w:szCs w:val="24"/>
          <w:lang w:val="ru-RU"/>
        </w:rPr>
        <w:t>на встрече лидеров в Гонолулу в ноябре 2011 г. решили избавляться от субсидирования потребления ископаемого топлива и усилили коллективные обязательства по снижению энергоемкости экономик к 2035 г. до 45 процентов, по сравнению с 2005 г.</w:t>
      </w:r>
      <w:r>
        <w:rPr>
          <w:rStyle w:val="ad"/>
          <w:rFonts w:ascii="Times New Roman" w:hAnsi="Times New Roman"/>
          <w:sz w:val="24"/>
          <w:szCs w:val="24"/>
          <w:lang w:val="ru-RU"/>
        </w:rPr>
        <w:footnoteReference w:id="2"/>
      </w:r>
    </w:p>
    <w:p w:rsidR="000D272B" w:rsidRDefault="000D272B" w:rsidP="000D272B">
      <w:pPr>
        <w:spacing w:after="120" w:line="240" w:lineRule="auto"/>
        <w:ind w:firstLine="567"/>
        <w:jc w:val="both"/>
        <w:rPr>
          <w:rFonts w:ascii="Times New Roman" w:hAnsi="Times New Roman"/>
          <w:sz w:val="24"/>
          <w:szCs w:val="24"/>
          <w:lang w:val="ru-RU"/>
        </w:rPr>
      </w:pPr>
      <w:r w:rsidRPr="00747129">
        <w:rPr>
          <w:rFonts w:ascii="Times New Roman" w:hAnsi="Times New Roman"/>
          <w:sz w:val="24"/>
          <w:szCs w:val="24"/>
          <w:lang w:val="ru-RU"/>
        </w:rPr>
        <w:t>Несмотря на то, что к настоящему времени в США пока не удалось принять федерального законодательства об ограничении парниковых выбросов, активная законотворческая работа в этом напра</w:t>
      </w:r>
      <w:r>
        <w:rPr>
          <w:rFonts w:ascii="Times New Roman" w:hAnsi="Times New Roman"/>
          <w:sz w:val="24"/>
          <w:szCs w:val="24"/>
          <w:lang w:val="ru-RU"/>
        </w:rPr>
        <w:t xml:space="preserve">влении продолжается.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США эта работа идет в русле поиска приемлемого универсального инструмента климатической</w:t>
      </w:r>
      <w:r w:rsidRPr="00756D58">
        <w:rPr>
          <w:rFonts w:ascii="Times New Roman" w:hAnsi="Times New Roman"/>
          <w:sz w:val="24"/>
          <w:szCs w:val="24"/>
          <w:lang w:val="ru-RU"/>
        </w:rPr>
        <w:t xml:space="preserve"> </w:t>
      </w:r>
      <w:r>
        <w:rPr>
          <w:rFonts w:ascii="Times New Roman" w:hAnsi="Times New Roman"/>
          <w:sz w:val="24"/>
          <w:szCs w:val="24"/>
          <w:lang w:val="ru-RU"/>
        </w:rPr>
        <w:t>и одновременно  низкоуглеродной энергетической политики. Сначала было предложение ввести «парниковый» (углеродный) налог, затем ввести систему квотирования и торговли (</w:t>
      </w:r>
      <w:r>
        <w:rPr>
          <w:rFonts w:ascii="Times New Roman" w:hAnsi="Times New Roman"/>
          <w:sz w:val="24"/>
          <w:szCs w:val="24"/>
        </w:rPr>
        <w:t>cap</w:t>
      </w:r>
      <w:r w:rsidRPr="00756D58">
        <w:rPr>
          <w:rFonts w:ascii="Times New Roman" w:hAnsi="Times New Roman"/>
          <w:sz w:val="24"/>
          <w:szCs w:val="24"/>
          <w:lang w:val="ru-RU"/>
        </w:rPr>
        <w:t xml:space="preserve"> </w:t>
      </w:r>
      <w:r>
        <w:rPr>
          <w:rFonts w:ascii="Times New Roman" w:hAnsi="Times New Roman"/>
          <w:sz w:val="24"/>
          <w:szCs w:val="24"/>
        </w:rPr>
        <w:t>and</w:t>
      </w:r>
      <w:r w:rsidRPr="00756D58">
        <w:rPr>
          <w:rFonts w:ascii="Times New Roman" w:hAnsi="Times New Roman"/>
          <w:sz w:val="24"/>
          <w:szCs w:val="24"/>
          <w:lang w:val="ru-RU"/>
        </w:rPr>
        <w:t xml:space="preserve"> </w:t>
      </w:r>
      <w:r>
        <w:rPr>
          <w:rFonts w:ascii="Times New Roman" w:hAnsi="Times New Roman"/>
          <w:sz w:val="24"/>
          <w:szCs w:val="24"/>
        </w:rPr>
        <w:t>trade</w:t>
      </w:r>
      <w:r w:rsidRPr="00756D58">
        <w:rPr>
          <w:rFonts w:ascii="Times New Roman" w:hAnsi="Times New Roman"/>
          <w:sz w:val="24"/>
          <w:szCs w:val="24"/>
          <w:lang w:val="ru-RU"/>
        </w:rPr>
        <w:t xml:space="preserve">) </w:t>
      </w:r>
      <w:r>
        <w:rPr>
          <w:rFonts w:ascii="Times New Roman" w:hAnsi="Times New Roman"/>
          <w:sz w:val="24"/>
          <w:szCs w:val="24"/>
          <w:lang w:val="ru-RU"/>
        </w:rPr>
        <w:t>для парниковых газов, затем ввести Стандарт возобновляемой энергетики. Очередным</w:t>
      </w:r>
      <w:r w:rsidRPr="00747129">
        <w:rPr>
          <w:rFonts w:ascii="Times New Roman" w:hAnsi="Times New Roman"/>
          <w:sz w:val="24"/>
          <w:szCs w:val="24"/>
          <w:lang w:val="ru-RU"/>
        </w:rPr>
        <w:t xml:space="preserve"> свидетельством такой работы является законопроект о Стандарте «чистой» энергетики (</w:t>
      </w:r>
      <w:r w:rsidRPr="00747129">
        <w:rPr>
          <w:rFonts w:ascii="Times New Roman" w:hAnsi="Times New Roman"/>
          <w:sz w:val="24"/>
          <w:szCs w:val="24"/>
        </w:rPr>
        <w:t>Clean</w:t>
      </w:r>
      <w:r w:rsidRPr="00747129">
        <w:rPr>
          <w:rFonts w:ascii="Times New Roman" w:hAnsi="Times New Roman"/>
          <w:sz w:val="24"/>
          <w:szCs w:val="24"/>
          <w:lang w:val="ru-RU"/>
        </w:rPr>
        <w:t xml:space="preserve"> </w:t>
      </w:r>
      <w:r w:rsidRPr="00747129">
        <w:rPr>
          <w:rFonts w:ascii="Times New Roman" w:hAnsi="Times New Roman"/>
          <w:sz w:val="24"/>
          <w:szCs w:val="24"/>
        </w:rPr>
        <w:t>energy</w:t>
      </w:r>
      <w:r w:rsidRPr="00747129">
        <w:rPr>
          <w:rFonts w:ascii="Times New Roman" w:hAnsi="Times New Roman"/>
          <w:sz w:val="24"/>
          <w:szCs w:val="24"/>
          <w:lang w:val="ru-RU"/>
        </w:rPr>
        <w:t xml:space="preserve"> </w:t>
      </w:r>
      <w:r w:rsidRPr="00747129">
        <w:rPr>
          <w:rFonts w:ascii="Times New Roman" w:hAnsi="Times New Roman"/>
          <w:sz w:val="24"/>
          <w:szCs w:val="24"/>
        </w:rPr>
        <w:t>standard</w:t>
      </w:r>
      <w:r w:rsidRPr="00747129">
        <w:rPr>
          <w:rFonts w:ascii="Times New Roman" w:hAnsi="Times New Roman"/>
          <w:sz w:val="24"/>
          <w:szCs w:val="24"/>
          <w:lang w:val="ru-RU"/>
        </w:rPr>
        <w:t>), который</w:t>
      </w:r>
      <w:r>
        <w:rPr>
          <w:rFonts w:ascii="Times New Roman" w:hAnsi="Times New Roman"/>
          <w:sz w:val="24"/>
          <w:szCs w:val="24"/>
          <w:lang w:val="ru-RU"/>
        </w:rPr>
        <w:t xml:space="preserve"> </w:t>
      </w:r>
      <w:proofErr w:type="gramStart"/>
      <w:r>
        <w:rPr>
          <w:rFonts w:ascii="Times New Roman" w:hAnsi="Times New Roman"/>
          <w:sz w:val="24"/>
          <w:szCs w:val="24"/>
          <w:lang w:val="ru-RU"/>
        </w:rPr>
        <w:t>предполагает</w:t>
      </w:r>
      <w:proofErr w:type="gramEnd"/>
      <w:r>
        <w:rPr>
          <w:rFonts w:ascii="Times New Roman" w:hAnsi="Times New Roman"/>
          <w:sz w:val="24"/>
          <w:szCs w:val="24"/>
          <w:lang w:val="ru-RU"/>
        </w:rPr>
        <w:t xml:space="preserve"> что 80% электроэнергии в США будет производиться «чистыми» (с точки зрения парниковых эмиссий) источниками и</w:t>
      </w:r>
      <w:r w:rsidRPr="00747129">
        <w:rPr>
          <w:rFonts w:ascii="Times New Roman" w:hAnsi="Times New Roman"/>
          <w:sz w:val="24"/>
          <w:szCs w:val="24"/>
          <w:lang w:val="ru-RU"/>
        </w:rPr>
        <w:t>, по оценкам, может привести к снижению пар</w:t>
      </w:r>
      <w:r>
        <w:rPr>
          <w:rFonts w:ascii="Times New Roman" w:hAnsi="Times New Roman"/>
          <w:sz w:val="24"/>
          <w:szCs w:val="24"/>
          <w:lang w:val="ru-RU"/>
        </w:rPr>
        <w:t>никовых выбросов энергетики на 50 - 6</w:t>
      </w:r>
      <w:r w:rsidRPr="00747129">
        <w:rPr>
          <w:rFonts w:ascii="Times New Roman" w:hAnsi="Times New Roman"/>
          <w:sz w:val="24"/>
          <w:szCs w:val="24"/>
          <w:lang w:val="ru-RU"/>
        </w:rPr>
        <w:t>0% к 2035 г.</w:t>
      </w:r>
      <w:r>
        <w:rPr>
          <w:rFonts w:ascii="Times New Roman" w:hAnsi="Times New Roman"/>
          <w:sz w:val="24"/>
          <w:szCs w:val="24"/>
          <w:lang w:val="ru-RU"/>
        </w:rPr>
        <w:t xml:space="preserve">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Ни один из этих вариантов пока не получил окончательного одобрения на федеральном уровне, поскольку не может в равной степени учесть интересы всех мощных лоббистских групп: сторонников ядерной энергетики, «чистых» угольных технологий, «зеленой» энергетики и т.д. Как уже было замечено, «парниковое» регулирование – мощный рычаг не только климатической, но энергетической, промышленно-технологической политики, и вокруг него в США будет, вероятно, сломано еще немало копий, прежде чем  будет достигнут консенсус на федеральном уровне.</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Примечательно, однако, то, что и Стандарт возобновляемой энергетики, и Стандарт «чистой» энергетики, не говоря уже о «квотировании и торговле» это непосредственная основа для возникновения соответствующего рыночного инструмента – кредита</w:t>
      </w:r>
      <w:r>
        <w:rPr>
          <w:rStyle w:val="ad"/>
          <w:rFonts w:ascii="Times New Roman" w:hAnsi="Times New Roman"/>
          <w:sz w:val="24"/>
          <w:szCs w:val="24"/>
          <w:lang w:val="ru-RU"/>
        </w:rPr>
        <w:footnoteReference w:id="3"/>
      </w:r>
      <w:r>
        <w:rPr>
          <w:rFonts w:ascii="Times New Roman" w:hAnsi="Times New Roman"/>
          <w:sz w:val="24"/>
          <w:szCs w:val="24"/>
          <w:lang w:val="ru-RU"/>
        </w:rPr>
        <w:t xml:space="preserve">, а в последнем случае и квоты на выбросы.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Переход, а вернее возврат к «стандартам», знаменует новый виток спирали развития механизмов экологического регулирования. Ниже будет подробнее рассмотрен процесс эволюции этих механизмов от регламентирования стандартов, технологий к назначению цены за выбросы и сбросы, затем к рыночному механизму этого ценообразования, а вслед за этим к регламентированию (квотированию) объема выбросов.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Стандарт возобновляемой энергетики стал основой торговли кредитами в большинстве штатов. Так же как с системами торговли парниковыми выбросами в США развитие систем стимулирования возобновляемой энергетики идет «снизу».</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Впрочем, нет сомнений в том, что даже если бы в свое время в США было принято предложение о введении «углеродного» налога, то и на этой основе совершались бы индивидуальные сделки купли-продажи эмиссий, даже без возникновения собственно рынка.</w:t>
      </w:r>
    </w:p>
    <w:p w:rsidR="000D272B" w:rsidRPr="00FE0437"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США, скорее всего, в ближайшее время не станут участниками никакого международного соглашения с твердыми количественными обязательствами, а в выборный год вряд ли примут какое-либо федеральное законодательство, касающееся парниковых выбросов. Тем не менее, в октябре 2011 г. было окончательно утверждено законодательство, запускающее обязательную систему квотирования и торговли парниковыми выбросами в Калифорнии. Параллельно в США развиваются еще две обязательные системы (</w:t>
      </w:r>
      <w:proofErr w:type="spellStart"/>
      <w:r>
        <w:rPr>
          <w:rFonts w:ascii="Times New Roman" w:hAnsi="Times New Roman"/>
          <w:sz w:val="24"/>
          <w:szCs w:val="24"/>
        </w:rPr>
        <w:t>RGGI</w:t>
      </w:r>
      <w:proofErr w:type="spellEnd"/>
      <w:r w:rsidRPr="009B62BF">
        <w:rPr>
          <w:rFonts w:ascii="Times New Roman" w:hAnsi="Times New Roman"/>
          <w:sz w:val="24"/>
          <w:szCs w:val="24"/>
          <w:lang w:val="ru-RU"/>
        </w:rPr>
        <w:t xml:space="preserve">, </w:t>
      </w:r>
      <w:proofErr w:type="spellStart"/>
      <w:r>
        <w:rPr>
          <w:rFonts w:ascii="Times New Roman" w:hAnsi="Times New Roman"/>
          <w:sz w:val="24"/>
          <w:szCs w:val="24"/>
        </w:rPr>
        <w:t>WCI</w:t>
      </w:r>
      <w:proofErr w:type="spellEnd"/>
      <w:r w:rsidRPr="009B62BF">
        <w:rPr>
          <w:rFonts w:ascii="Times New Roman" w:hAnsi="Times New Roman"/>
          <w:sz w:val="24"/>
          <w:szCs w:val="24"/>
          <w:lang w:val="ru-RU"/>
        </w:rPr>
        <w:t>)</w:t>
      </w:r>
      <w:r>
        <w:rPr>
          <w:rFonts w:ascii="Times New Roman" w:hAnsi="Times New Roman"/>
          <w:sz w:val="24"/>
          <w:szCs w:val="24"/>
          <w:lang w:val="ru-RU"/>
        </w:rPr>
        <w:t xml:space="preserve">. Таким образом, хотя углеродный рынок США фрагментирован и не является пока общенациональным, по своим масштабам он уступает только </w:t>
      </w:r>
      <w:proofErr w:type="gramStart"/>
      <w:r>
        <w:rPr>
          <w:rFonts w:ascii="Times New Roman" w:hAnsi="Times New Roman"/>
          <w:sz w:val="24"/>
          <w:szCs w:val="24"/>
          <w:lang w:val="ru-RU"/>
        </w:rPr>
        <w:t>европейскому</w:t>
      </w:r>
      <w:proofErr w:type="gramEnd"/>
      <w:r>
        <w:rPr>
          <w:rFonts w:ascii="Times New Roman" w:hAnsi="Times New Roman"/>
          <w:sz w:val="24"/>
          <w:szCs w:val="24"/>
          <w:lang w:val="ru-RU"/>
        </w:rPr>
        <w:t xml:space="preserve">.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Крупнейшим эмиттером парниковых газов в мире на сегодняшний день стала КНР.  По данным Университета «</w:t>
      </w:r>
      <w:proofErr w:type="spellStart"/>
      <w:r>
        <w:rPr>
          <w:rFonts w:ascii="Times New Roman" w:hAnsi="Times New Roman"/>
          <w:sz w:val="24"/>
          <w:szCs w:val="24"/>
          <w:lang w:val="ru-RU"/>
        </w:rPr>
        <w:t>Цинхуа</w:t>
      </w:r>
      <w:proofErr w:type="spellEnd"/>
      <w:r>
        <w:rPr>
          <w:rFonts w:ascii="Times New Roman" w:hAnsi="Times New Roman"/>
          <w:sz w:val="24"/>
          <w:szCs w:val="24"/>
          <w:lang w:val="ru-RU"/>
        </w:rPr>
        <w:t>», с 2006 по 2010 гг. ее выбросы увеличились на 33,6%. В то же время углеродоемкость ВНП снизилась на 20,8%</w:t>
      </w:r>
      <w:r>
        <w:rPr>
          <w:rStyle w:val="ad"/>
          <w:rFonts w:ascii="Times New Roman" w:hAnsi="Times New Roman"/>
          <w:sz w:val="24"/>
          <w:szCs w:val="24"/>
          <w:lang w:val="ru-RU"/>
        </w:rPr>
        <w:footnoteReference w:id="4"/>
      </w:r>
      <w:r>
        <w:rPr>
          <w:rFonts w:ascii="Times New Roman" w:hAnsi="Times New Roman"/>
          <w:sz w:val="24"/>
          <w:szCs w:val="24"/>
          <w:lang w:val="ru-RU"/>
        </w:rPr>
        <w:t xml:space="preserve">. </w:t>
      </w:r>
      <w:r w:rsidRPr="004D4384">
        <w:rPr>
          <w:rFonts w:ascii="Times New Roman" w:hAnsi="Times New Roman"/>
          <w:sz w:val="24"/>
          <w:szCs w:val="24"/>
          <w:lang w:val="ru-RU"/>
        </w:rPr>
        <w:t>С 2015 года КНР</w:t>
      </w:r>
      <w:r>
        <w:rPr>
          <w:rFonts w:ascii="Times New Roman" w:hAnsi="Times New Roman"/>
          <w:sz w:val="24"/>
          <w:szCs w:val="24"/>
          <w:lang w:val="ru-RU"/>
        </w:rPr>
        <w:t xml:space="preserve"> </w:t>
      </w:r>
      <w:r w:rsidRPr="004D4384">
        <w:rPr>
          <w:rFonts w:ascii="Times New Roman" w:hAnsi="Times New Roman"/>
          <w:sz w:val="24"/>
          <w:szCs w:val="24"/>
          <w:lang w:val="ru-RU"/>
        </w:rPr>
        <w:t xml:space="preserve"> планирует ввести национальную систему торговли квотами на углекислый газ (несмотря на то, что она не имеет количественных обязательств по Киотскому протоколу). Правительство КНР уже дало поручение Исследовательскому институту энергетики разработать национальный реестр разрешений на выбросы </w:t>
      </w:r>
      <w:r w:rsidRPr="004D4384">
        <w:rPr>
          <w:rFonts w:ascii="Times New Roman" w:hAnsi="Times New Roman"/>
          <w:sz w:val="24"/>
          <w:szCs w:val="24"/>
        </w:rPr>
        <w:t>CO</w:t>
      </w:r>
      <w:r w:rsidRPr="004D4384">
        <w:rPr>
          <w:rFonts w:ascii="Times New Roman" w:hAnsi="Times New Roman"/>
          <w:sz w:val="24"/>
          <w:szCs w:val="24"/>
          <w:vertAlign w:val="subscript"/>
          <w:lang w:val="ru-RU"/>
        </w:rPr>
        <w:t>2</w:t>
      </w:r>
      <w:r w:rsidRPr="004D4384">
        <w:rPr>
          <w:rFonts w:ascii="Times New Roman" w:hAnsi="Times New Roman"/>
          <w:sz w:val="24"/>
          <w:szCs w:val="24"/>
          <w:lang w:val="ru-RU"/>
        </w:rPr>
        <w:t>, который станет ядром национальной системы торговли.</w:t>
      </w:r>
    </w:p>
    <w:p w:rsidR="000D272B" w:rsidRPr="004D4384" w:rsidRDefault="000D272B" w:rsidP="000D272B">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Учитывая глобальные тенденции технологического развития, Китай параллельно решает задачу реэкспорта технологий в области энергосбережения, энергоэффективности, возобновляемых источников эн</w:t>
      </w:r>
      <w:r>
        <w:rPr>
          <w:rFonts w:ascii="Times New Roman" w:hAnsi="Times New Roman"/>
          <w:sz w:val="24"/>
          <w:szCs w:val="24"/>
          <w:lang w:val="ru-RU"/>
        </w:rPr>
        <w:t xml:space="preserve">ергии и т.п. Китай </w:t>
      </w:r>
      <w:r w:rsidRPr="004D4384">
        <w:rPr>
          <w:rFonts w:ascii="Times New Roman" w:hAnsi="Times New Roman"/>
          <w:sz w:val="24"/>
          <w:szCs w:val="24"/>
          <w:lang w:val="ru-RU"/>
        </w:rPr>
        <w:t>– мировой лидер в производстве компонентов солнечной и ветровой энергетики</w:t>
      </w:r>
      <w:r>
        <w:rPr>
          <w:rFonts w:ascii="Times New Roman" w:hAnsi="Times New Roman"/>
          <w:sz w:val="24"/>
          <w:szCs w:val="24"/>
          <w:lang w:val="ru-RU"/>
        </w:rPr>
        <w:t>, используя демпинг и госдотации для обеспечения своего места в этой перспективной отрасли</w:t>
      </w:r>
      <w:r w:rsidRPr="004D4384">
        <w:rPr>
          <w:rFonts w:ascii="Times New Roman" w:hAnsi="Times New Roman"/>
          <w:sz w:val="24"/>
          <w:szCs w:val="24"/>
          <w:lang w:val="ru-RU"/>
        </w:rPr>
        <w:t>.</w:t>
      </w:r>
      <w:r>
        <w:rPr>
          <w:rFonts w:ascii="Times New Roman" w:hAnsi="Times New Roman"/>
          <w:sz w:val="24"/>
          <w:szCs w:val="24"/>
          <w:lang w:val="ru-RU"/>
        </w:rPr>
        <w:t xml:space="preserve"> У</w:t>
      </w:r>
      <w:r w:rsidRPr="00E9515A">
        <w:rPr>
          <w:rFonts w:ascii="Times New Roman" w:hAnsi="Times New Roman"/>
          <w:sz w:val="24"/>
          <w:szCs w:val="24"/>
          <w:lang w:val="ru-RU"/>
        </w:rPr>
        <w:t xml:space="preserve">же </w:t>
      </w:r>
      <w:r>
        <w:rPr>
          <w:rFonts w:ascii="Times New Roman" w:hAnsi="Times New Roman"/>
          <w:sz w:val="24"/>
          <w:szCs w:val="24"/>
          <w:lang w:val="ru-RU"/>
        </w:rPr>
        <w:t>он</w:t>
      </w:r>
      <w:r w:rsidRPr="00E9515A">
        <w:rPr>
          <w:rFonts w:ascii="Times New Roman" w:hAnsi="Times New Roman"/>
          <w:sz w:val="24"/>
          <w:szCs w:val="24"/>
          <w:lang w:val="ru-RU"/>
        </w:rPr>
        <w:t xml:space="preserve"> захватил почти 50% рынка </w:t>
      </w:r>
      <w:proofErr w:type="spellStart"/>
      <w:r w:rsidRPr="00E9515A">
        <w:rPr>
          <w:rFonts w:ascii="Times New Roman" w:hAnsi="Times New Roman"/>
          <w:sz w:val="24"/>
          <w:szCs w:val="24"/>
          <w:lang w:val="ru-RU"/>
        </w:rPr>
        <w:t>ветрогенераторов</w:t>
      </w:r>
      <w:proofErr w:type="spellEnd"/>
      <w:r w:rsidRPr="00E9515A">
        <w:rPr>
          <w:rFonts w:ascii="Times New Roman" w:hAnsi="Times New Roman"/>
          <w:sz w:val="24"/>
          <w:szCs w:val="24"/>
          <w:lang w:val="ru-RU"/>
        </w:rPr>
        <w:t xml:space="preserve"> и солнечных электростанций.</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И США, и КНР в настоящее время в значительно большей степени ориентируются на внутренние меры по переходу на новый, </w:t>
      </w:r>
      <w:proofErr w:type="spellStart"/>
      <w:r>
        <w:rPr>
          <w:rFonts w:ascii="Times New Roman" w:hAnsi="Times New Roman"/>
          <w:sz w:val="24"/>
          <w:szCs w:val="24"/>
          <w:lang w:val="ru-RU"/>
        </w:rPr>
        <w:t>низкоуглеродный</w:t>
      </w:r>
      <w:proofErr w:type="spellEnd"/>
      <w:r>
        <w:rPr>
          <w:rFonts w:ascii="Times New Roman" w:hAnsi="Times New Roman"/>
          <w:sz w:val="24"/>
          <w:szCs w:val="24"/>
          <w:lang w:val="ru-RU"/>
        </w:rPr>
        <w:t xml:space="preserve"> путь развития, в меньшей степени полагаясь на согласованную глобальную рыночную инфраструктуру.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Прежде чем в той или иной стране принима</w:t>
      </w:r>
      <w:r w:rsidR="00AC0630">
        <w:rPr>
          <w:rFonts w:ascii="Times New Roman" w:hAnsi="Times New Roman"/>
          <w:sz w:val="24"/>
          <w:szCs w:val="24"/>
          <w:lang w:val="ru-RU"/>
        </w:rPr>
        <w:t>лось</w:t>
      </w:r>
      <w:r>
        <w:rPr>
          <w:rFonts w:ascii="Times New Roman" w:hAnsi="Times New Roman"/>
          <w:sz w:val="24"/>
          <w:szCs w:val="24"/>
          <w:lang w:val="ru-RU"/>
        </w:rPr>
        <w:t xml:space="preserve"> решение о введении системы квотирования и торговли парниковыми выбросами, как правило, анализир</w:t>
      </w:r>
      <w:r w:rsidR="00AC0630">
        <w:rPr>
          <w:rFonts w:ascii="Times New Roman" w:hAnsi="Times New Roman"/>
          <w:sz w:val="24"/>
          <w:szCs w:val="24"/>
          <w:lang w:val="ru-RU"/>
        </w:rPr>
        <w:t>овались</w:t>
      </w:r>
      <w:r>
        <w:rPr>
          <w:rFonts w:ascii="Times New Roman" w:hAnsi="Times New Roman"/>
          <w:sz w:val="24"/>
          <w:szCs w:val="24"/>
          <w:lang w:val="ru-RU"/>
        </w:rPr>
        <w:t xml:space="preserve"> различные сценарии последствий  для социально-экономического развития страны. Результаты анализа оказываются весьма схожими.</w:t>
      </w:r>
    </w:p>
    <w:p w:rsidR="000D272B" w:rsidRDefault="000D272B" w:rsidP="000D272B">
      <w:pPr>
        <w:spacing w:after="120"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В Австралии, прежде чем было принято решение о введении «парникового» налога, а с 2015 г. и системы торговли, в числе прочих анализировался «экстремальный» сценарий принятия обязательств по снижению парниковых выбросов на 60% и более (до 100%) в период до 2030 – 2050 гг. Моделирование показало удвоение ВВП в период до 2030 года и утроение в период до 2050 г. с одновременным</w:t>
      </w:r>
      <w:proofErr w:type="gramEnd"/>
      <w:r>
        <w:rPr>
          <w:rFonts w:ascii="Times New Roman" w:hAnsi="Times New Roman"/>
          <w:sz w:val="24"/>
          <w:szCs w:val="24"/>
          <w:lang w:val="ru-RU"/>
        </w:rPr>
        <w:t xml:space="preserve"> ростом душевого дохода на 150%, а занятости на 70%. Да, рост ВВП замедлялся при таких жестких ограничениях на выбросы, но замедлялся не более чем на 0,1 процентного пункта (с 2,9 до 2,8% в год). Эта та цена, которую, как показывали модели, Австралии надо заплатить за радикальное улучшение экологической обстановки, ускоренный переход экономики на рельсы </w:t>
      </w:r>
      <w:proofErr w:type="spellStart"/>
      <w:r>
        <w:rPr>
          <w:rFonts w:ascii="Times New Roman" w:hAnsi="Times New Roman"/>
          <w:sz w:val="24"/>
          <w:szCs w:val="24"/>
          <w:lang w:val="ru-RU"/>
        </w:rPr>
        <w:t>низкоуглеродного</w:t>
      </w:r>
      <w:proofErr w:type="spellEnd"/>
      <w:r>
        <w:rPr>
          <w:rFonts w:ascii="Times New Roman" w:hAnsi="Times New Roman"/>
          <w:sz w:val="24"/>
          <w:szCs w:val="24"/>
          <w:lang w:val="ru-RU"/>
        </w:rPr>
        <w:t xml:space="preserve"> инновационного развития.</w:t>
      </w:r>
      <w:r>
        <w:rPr>
          <w:rStyle w:val="ad"/>
          <w:rFonts w:ascii="Times New Roman" w:hAnsi="Times New Roman"/>
          <w:sz w:val="24"/>
          <w:szCs w:val="24"/>
          <w:lang w:val="ru-RU"/>
        </w:rPr>
        <w:footnoteReference w:id="5"/>
      </w:r>
    </w:p>
    <w:p w:rsidR="000D272B" w:rsidRPr="00FE0437" w:rsidRDefault="000D272B" w:rsidP="000D272B">
      <w:pPr>
        <w:spacing w:after="120" w:line="240" w:lineRule="auto"/>
        <w:ind w:firstLine="567"/>
        <w:jc w:val="both"/>
        <w:rPr>
          <w:rFonts w:ascii="Times New Roman" w:hAnsi="Times New Roman"/>
          <w:sz w:val="24"/>
          <w:szCs w:val="24"/>
          <w:lang w:val="ru-RU"/>
        </w:rPr>
      </w:pPr>
      <w:r w:rsidRPr="00FE0437">
        <w:rPr>
          <w:rFonts w:ascii="Times New Roman" w:hAnsi="Times New Roman"/>
          <w:sz w:val="24"/>
          <w:szCs w:val="24"/>
          <w:lang w:val="ru-RU"/>
        </w:rPr>
        <w:t xml:space="preserve">Аналогичное моделирование в 2005 г. в Новой Зеландии показало, что в результате введения системы квотирования и торговли отставание роста ВВП к 2010 должно было составить при цене квот 13 новозеландских долларов за тонну </w:t>
      </w:r>
      <w:r w:rsidRPr="00FE0437">
        <w:rPr>
          <w:rFonts w:ascii="Times New Roman" w:hAnsi="Times New Roman"/>
          <w:sz w:val="24"/>
          <w:szCs w:val="24"/>
        </w:rPr>
        <w:t>CO</w:t>
      </w:r>
      <w:r w:rsidRPr="00FE0437">
        <w:rPr>
          <w:rFonts w:ascii="Times New Roman" w:hAnsi="Times New Roman"/>
          <w:sz w:val="24"/>
          <w:szCs w:val="24"/>
          <w:lang w:val="ru-RU"/>
        </w:rPr>
        <w:t>2-</w:t>
      </w:r>
      <w:r w:rsidRPr="00FE0437">
        <w:rPr>
          <w:rFonts w:ascii="Times New Roman" w:hAnsi="Times New Roman"/>
          <w:sz w:val="24"/>
          <w:szCs w:val="24"/>
        </w:rPr>
        <w:t>e</w:t>
      </w:r>
      <w:r w:rsidRPr="00FE0437">
        <w:rPr>
          <w:rFonts w:ascii="Times New Roman" w:hAnsi="Times New Roman"/>
          <w:sz w:val="24"/>
          <w:szCs w:val="24"/>
          <w:lang w:val="ru-RU"/>
        </w:rPr>
        <w:t xml:space="preserve"> 0,04 процентных пункта, при 51 долларе 0,24 процентных пункта.</w:t>
      </w:r>
      <w:r w:rsidRPr="00FE0437">
        <w:rPr>
          <w:rStyle w:val="ad"/>
          <w:rFonts w:ascii="Times New Roman" w:hAnsi="Times New Roman"/>
          <w:sz w:val="24"/>
          <w:szCs w:val="24"/>
          <w:lang w:val="ru-RU"/>
        </w:rPr>
        <w:footnoteReference w:id="6"/>
      </w:r>
      <w:r w:rsidRPr="00FE0437">
        <w:rPr>
          <w:rFonts w:ascii="Times New Roman" w:hAnsi="Times New Roman"/>
          <w:sz w:val="24"/>
          <w:szCs w:val="24"/>
          <w:lang w:val="ru-RU"/>
        </w:rPr>
        <w:t xml:space="preserve"> </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Расчеты, которые делались в то же время для России, показывали при рыночном варианте работы с «парниковыми» обязательствами ускорение роста ВВП на 1-2 процентных пункта в течение 2008 – 2012 гг., что объяснялось </w:t>
      </w:r>
      <w:r w:rsidR="00934DC5">
        <w:rPr>
          <w:rFonts w:ascii="Times New Roman" w:hAnsi="Times New Roman"/>
          <w:sz w:val="24"/>
          <w:szCs w:val="24"/>
          <w:lang w:val="ru-RU"/>
        </w:rPr>
        <w:t xml:space="preserve">тогда еще существовавшей </w:t>
      </w:r>
      <w:r>
        <w:rPr>
          <w:rFonts w:ascii="Times New Roman" w:hAnsi="Times New Roman"/>
          <w:sz w:val="24"/>
          <w:szCs w:val="24"/>
          <w:lang w:val="ru-RU"/>
        </w:rPr>
        <w:t>возможностью запустить в оборот избыточные квоты и капитализировать на углеродном рынке потенциал энергосбережения.</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Как подтвердила дальнейшая практика, «парниковые» обязательства сопровождаемые введением механизма квотирования и торговли незначительно сказываются на абсолютных показателях роста, одновременно стимулируя качественные положительные изменения в экономике.</w:t>
      </w:r>
    </w:p>
    <w:p w:rsidR="000D272B"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Исследования зависимости углеродоемкости экономики и экономического роста показали, что в развитых странах экономический рост происходит на фоне падения углеродоемкости,</w:t>
      </w:r>
      <w:r w:rsidR="00B10493">
        <w:rPr>
          <w:rFonts w:ascii="Times New Roman" w:hAnsi="Times New Roman"/>
          <w:sz w:val="24"/>
          <w:szCs w:val="24"/>
          <w:lang w:val="ru-RU"/>
        </w:rPr>
        <w:t xml:space="preserve"> тем более очевидного, чем жестче «парниковое» регулирование. В</w:t>
      </w:r>
      <w:r>
        <w:rPr>
          <w:rFonts w:ascii="Times New Roman" w:hAnsi="Times New Roman"/>
          <w:sz w:val="24"/>
          <w:szCs w:val="24"/>
          <w:lang w:val="ru-RU"/>
        </w:rPr>
        <w:t xml:space="preserve"> развивающихся странах эта зависимость сильно разнится, в зависимости от страны. В России обнаружилась обратная зависимость: соразмерное падение парниковых выбросов </w:t>
      </w:r>
      <w:r>
        <w:rPr>
          <w:rFonts w:ascii="Times New Roman" w:hAnsi="Times New Roman"/>
          <w:sz w:val="24"/>
          <w:szCs w:val="24"/>
          <w:lang w:val="ru-RU"/>
        </w:rPr>
        <w:lastRenderedPageBreak/>
        <w:t xml:space="preserve">и ВВП в 1990-х гг. сопровождалось ростом углеродоемкости, а рост экономики и уровня эмиссий – </w:t>
      </w:r>
      <w:r w:rsidR="00B10493">
        <w:rPr>
          <w:rFonts w:ascii="Times New Roman" w:hAnsi="Times New Roman"/>
          <w:sz w:val="24"/>
          <w:szCs w:val="24"/>
          <w:lang w:val="ru-RU"/>
        </w:rPr>
        <w:t xml:space="preserve">ее </w:t>
      </w:r>
      <w:r>
        <w:rPr>
          <w:rFonts w:ascii="Times New Roman" w:hAnsi="Times New Roman"/>
          <w:sz w:val="24"/>
          <w:szCs w:val="24"/>
          <w:lang w:val="ru-RU"/>
        </w:rPr>
        <w:t>падением.</w:t>
      </w:r>
      <w:r>
        <w:rPr>
          <w:rStyle w:val="ad"/>
          <w:rFonts w:ascii="Times New Roman" w:hAnsi="Times New Roman"/>
          <w:sz w:val="24"/>
          <w:szCs w:val="24"/>
          <w:lang w:val="ru-RU"/>
        </w:rPr>
        <w:footnoteReference w:id="7"/>
      </w:r>
    </w:p>
    <w:p w:rsidR="000D272B" w:rsidRPr="00841B2A" w:rsidRDefault="00FE1F1A"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Е</w:t>
      </w:r>
      <w:r w:rsidR="000D272B">
        <w:rPr>
          <w:rFonts w:ascii="Times New Roman" w:hAnsi="Times New Roman"/>
          <w:sz w:val="24"/>
          <w:szCs w:val="24"/>
          <w:lang w:val="ru-RU"/>
        </w:rPr>
        <w:t>сли фактор ограничения парниковых выбросов дополняется активной государственной политикой стимулирования «чистой» энергетики, «зеленой» экономики, то не происходит даже такого незначительного замедления роста ВВП.</w:t>
      </w:r>
    </w:p>
    <w:p w:rsidR="000D272B" w:rsidRPr="00D509DC" w:rsidRDefault="000D272B" w:rsidP="000D272B">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Последний доклад </w:t>
      </w:r>
      <w:proofErr w:type="spellStart"/>
      <w:r>
        <w:rPr>
          <w:rFonts w:ascii="Times New Roman" w:hAnsi="Times New Roman"/>
          <w:sz w:val="24"/>
          <w:szCs w:val="24"/>
          <w:lang w:val="ru-RU"/>
        </w:rPr>
        <w:t>ЮНЕП</w:t>
      </w:r>
      <w:proofErr w:type="spellEnd"/>
      <w:r>
        <w:rPr>
          <w:rFonts w:ascii="Times New Roman" w:hAnsi="Times New Roman"/>
          <w:sz w:val="24"/>
          <w:szCs w:val="24"/>
          <w:lang w:val="ru-RU"/>
        </w:rPr>
        <w:t xml:space="preserve"> «</w:t>
      </w:r>
      <w:r w:rsidRPr="004136C5">
        <w:rPr>
          <w:rFonts w:ascii="Times New Roman" w:hAnsi="Times New Roman"/>
          <w:sz w:val="24"/>
          <w:szCs w:val="24"/>
          <w:lang w:val="ru-RU"/>
        </w:rPr>
        <w:t>Навстречу "зеленой" экономике: пути к устойчивому развитию и</w:t>
      </w:r>
      <w:r>
        <w:rPr>
          <w:rFonts w:ascii="Times New Roman" w:hAnsi="Times New Roman"/>
          <w:sz w:val="24"/>
          <w:szCs w:val="24"/>
          <w:lang w:val="ru-RU"/>
        </w:rPr>
        <w:t xml:space="preserve"> </w:t>
      </w:r>
      <w:r w:rsidRPr="004136C5">
        <w:rPr>
          <w:rFonts w:ascii="Times New Roman" w:hAnsi="Times New Roman"/>
          <w:sz w:val="24"/>
          <w:szCs w:val="24"/>
          <w:lang w:val="ru-RU"/>
        </w:rPr>
        <w:t>искоренению бедности</w:t>
      </w:r>
      <w:r>
        <w:rPr>
          <w:rFonts w:ascii="Times New Roman" w:hAnsi="Times New Roman"/>
          <w:sz w:val="24"/>
          <w:szCs w:val="24"/>
          <w:lang w:val="ru-RU"/>
        </w:rPr>
        <w:t>», результат совместных исследований десятков экспертов и организаций, показывает что «о</w:t>
      </w:r>
      <w:r w:rsidRPr="00C17A19">
        <w:rPr>
          <w:rFonts w:ascii="Times New Roman" w:hAnsi="Times New Roman"/>
          <w:sz w:val="24"/>
          <w:szCs w:val="24"/>
          <w:lang w:val="ru-RU"/>
        </w:rPr>
        <w:t>зеленение</w:t>
      </w:r>
      <w:r>
        <w:rPr>
          <w:rFonts w:ascii="Times New Roman" w:hAnsi="Times New Roman"/>
          <w:sz w:val="24"/>
          <w:szCs w:val="24"/>
          <w:lang w:val="ru-RU"/>
        </w:rPr>
        <w:t>»</w:t>
      </w:r>
      <w:r w:rsidRPr="00C17A19">
        <w:rPr>
          <w:rFonts w:ascii="Times New Roman" w:hAnsi="Times New Roman"/>
          <w:sz w:val="24"/>
          <w:szCs w:val="24"/>
          <w:lang w:val="ru-RU"/>
        </w:rPr>
        <w:t xml:space="preserve"> экономики не только порождает рост, и, в частности,</w:t>
      </w:r>
      <w:r>
        <w:rPr>
          <w:rFonts w:ascii="Times New Roman" w:hAnsi="Times New Roman"/>
          <w:sz w:val="24"/>
          <w:szCs w:val="24"/>
          <w:lang w:val="ru-RU"/>
        </w:rPr>
        <w:t xml:space="preserve"> </w:t>
      </w:r>
      <w:r w:rsidRPr="00C17A19">
        <w:rPr>
          <w:rFonts w:ascii="Times New Roman" w:hAnsi="Times New Roman"/>
          <w:sz w:val="24"/>
          <w:szCs w:val="24"/>
          <w:lang w:val="ru-RU"/>
        </w:rPr>
        <w:t xml:space="preserve">приращение </w:t>
      </w:r>
      <w:r>
        <w:rPr>
          <w:rFonts w:ascii="Times New Roman" w:hAnsi="Times New Roman"/>
          <w:sz w:val="24"/>
          <w:szCs w:val="24"/>
          <w:lang w:val="ru-RU"/>
        </w:rPr>
        <w:t>«</w:t>
      </w:r>
      <w:r w:rsidRPr="00C17A19">
        <w:rPr>
          <w:rFonts w:ascii="Times New Roman" w:hAnsi="Times New Roman"/>
          <w:sz w:val="24"/>
          <w:szCs w:val="24"/>
          <w:lang w:val="ru-RU"/>
        </w:rPr>
        <w:t>природного капитала</w:t>
      </w:r>
      <w:r>
        <w:rPr>
          <w:rFonts w:ascii="Times New Roman" w:hAnsi="Times New Roman"/>
          <w:sz w:val="24"/>
          <w:szCs w:val="24"/>
          <w:lang w:val="ru-RU"/>
        </w:rPr>
        <w:t>»</w:t>
      </w:r>
      <w:r w:rsidRPr="00C17A19">
        <w:rPr>
          <w:rFonts w:ascii="Times New Roman" w:hAnsi="Times New Roman"/>
          <w:sz w:val="24"/>
          <w:szCs w:val="24"/>
          <w:lang w:val="ru-RU"/>
        </w:rPr>
        <w:t>, но и обеспечивает более</w:t>
      </w:r>
      <w:r>
        <w:rPr>
          <w:rFonts w:ascii="Times New Roman" w:hAnsi="Times New Roman"/>
          <w:sz w:val="24"/>
          <w:szCs w:val="24"/>
          <w:lang w:val="ru-RU"/>
        </w:rPr>
        <w:t xml:space="preserve"> </w:t>
      </w:r>
      <w:r w:rsidRPr="00C17A19">
        <w:rPr>
          <w:rFonts w:ascii="Times New Roman" w:hAnsi="Times New Roman"/>
          <w:sz w:val="24"/>
          <w:szCs w:val="24"/>
          <w:lang w:val="ru-RU"/>
        </w:rPr>
        <w:t>высокий рост ВВП и ВВП на душу населения</w:t>
      </w:r>
      <w:r>
        <w:rPr>
          <w:rFonts w:ascii="Times New Roman" w:hAnsi="Times New Roman"/>
          <w:sz w:val="24"/>
          <w:szCs w:val="24"/>
          <w:lang w:val="ru-RU"/>
        </w:rPr>
        <w:t>.</w:t>
      </w:r>
      <w:r>
        <w:rPr>
          <w:rStyle w:val="ad"/>
          <w:rFonts w:ascii="Times New Roman" w:hAnsi="Times New Roman"/>
          <w:sz w:val="24"/>
          <w:szCs w:val="24"/>
          <w:lang w:val="ru-RU"/>
        </w:rPr>
        <w:footnoteReference w:id="8"/>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Сейчас о</w:t>
      </w:r>
      <w:r w:rsidRPr="004D4384">
        <w:rPr>
          <w:rFonts w:ascii="Times New Roman" w:hAnsi="Times New Roman"/>
          <w:sz w:val="24"/>
          <w:szCs w:val="24"/>
          <w:lang w:val="ru-RU"/>
        </w:rPr>
        <w:t>борот на мировом углеродном рынке уже превышает 150 млрд. долларов США в год (без учета смежных рынков технологий, услуг и т.п.), а доля России на этом рынке сегодня менее 0,1%.</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К</w:t>
      </w:r>
      <w:r w:rsidRPr="00845280">
        <w:rPr>
          <w:rFonts w:ascii="Times New Roman" w:hAnsi="Times New Roman"/>
          <w:sz w:val="24"/>
          <w:szCs w:val="24"/>
          <w:lang w:val="ru-RU"/>
        </w:rPr>
        <w:t xml:space="preserve"> настоящему моменту результат</w:t>
      </w:r>
      <w:r>
        <w:rPr>
          <w:rFonts w:ascii="Times New Roman" w:hAnsi="Times New Roman"/>
          <w:sz w:val="24"/>
          <w:szCs w:val="24"/>
          <w:lang w:val="ru-RU"/>
        </w:rPr>
        <w:t>ы</w:t>
      </w:r>
      <w:r w:rsidRPr="00845280">
        <w:rPr>
          <w:rFonts w:ascii="Times New Roman" w:hAnsi="Times New Roman"/>
          <w:sz w:val="24"/>
          <w:szCs w:val="24"/>
          <w:lang w:val="ru-RU"/>
        </w:rPr>
        <w:t xml:space="preserve"> действия 6 ст. Киотского прото</w:t>
      </w:r>
      <w:r>
        <w:rPr>
          <w:rFonts w:ascii="Times New Roman" w:hAnsi="Times New Roman"/>
          <w:sz w:val="24"/>
          <w:szCs w:val="24"/>
          <w:lang w:val="ru-RU"/>
        </w:rPr>
        <w:t xml:space="preserve">кола – а для России именно к механизму совместного осуществления </w:t>
      </w:r>
      <w:r w:rsidRPr="00845280">
        <w:rPr>
          <w:rFonts w:ascii="Times New Roman" w:hAnsi="Times New Roman"/>
          <w:sz w:val="24"/>
          <w:szCs w:val="24"/>
          <w:lang w:val="ru-RU"/>
        </w:rPr>
        <w:t>свелись все возможн</w:t>
      </w:r>
      <w:r>
        <w:rPr>
          <w:rFonts w:ascii="Times New Roman" w:hAnsi="Times New Roman"/>
          <w:sz w:val="24"/>
          <w:szCs w:val="24"/>
          <w:lang w:val="ru-RU"/>
        </w:rPr>
        <w:t>ы</w:t>
      </w:r>
      <w:r w:rsidRPr="00845280">
        <w:rPr>
          <w:rFonts w:ascii="Times New Roman" w:hAnsi="Times New Roman"/>
          <w:sz w:val="24"/>
          <w:szCs w:val="24"/>
          <w:lang w:val="ru-RU"/>
        </w:rPr>
        <w:t xml:space="preserve">е </w:t>
      </w:r>
      <w:r>
        <w:rPr>
          <w:rFonts w:ascii="Times New Roman" w:hAnsi="Times New Roman"/>
          <w:sz w:val="24"/>
          <w:szCs w:val="24"/>
          <w:lang w:val="ru-RU"/>
        </w:rPr>
        <w:t xml:space="preserve">углеродные </w:t>
      </w:r>
      <w:r w:rsidRPr="00845280">
        <w:rPr>
          <w:rFonts w:ascii="Times New Roman" w:hAnsi="Times New Roman"/>
          <w:sz w:val="24"/>
          <w:szCs w:val="24"/>
          <w:lang w:val="ru-RU"/>
        </w:rPr>
        <w:t>рыночные механизмы – очевидны: в Реестре углеродных единиц</w:t>
      </w:r>
      <w:r>
        <w:rPr>
          <w:rFonts w:ascii="Times New Roman" w:hAnsi="Times New Roman"/>
          <w:sz w:val="24"/>
          <w:szCs w:val="24"/>
          <w:lang w:val="ru-RU"/>
        </w:rPr>
        <w:t xml:space="preserve"> на 20 октября 2011 г. было зарегистрировано</w:t>
      </w:r>
      <w:r w:rsidRPr="00845280">
        <w:rPr>
          <w:rFonts w:ascii="Times New Roman" w:hAnsi="Times New Roman"/>
          <w:sz w:val="24"/>
          <w:szCs w:val="24"/>
          <w:lang w:val="ru-RU"/>
        </w:rPr>
        <w:t xml:space="preserve"> </w:t>
      </w:r>
      <w:r>
        <w:rPr>
          <w:rFonts w:ascii="Times New Roman" w:hAnsi="Times New Roman"/>
          <w:sz w:val="24"/>
          <w:szCs w:val="24"/>
          <w:lang w:val="ru-RU"/>
        </w:rPr>
        <w:t>10</w:t>
      </w:r>
      <w:r w:rsidRPr="00845280">
        <w:rPr>
          <w:rFonts w:ascii="Times New Roman" w:hAnsi="Times New Roman"/>
          <w:sz w:val="24"/>
          <w:szCs w:val="24"/>
          <w:lang w:val="ru-RU"/>
        </w:rPr>
        <w:t xml:space="preserve"> проект</w:t>
      </w:r>
      <w:r>
        <w:rPr>
          <w:rFonts w:ascii="Times New Roman" w:hAnsi="Times New Roman"/>
          <w:sz w:val="24"/>
          <w:szCs w:val="24"/>
          <w:lang w:val="ru-RU"/>
        </w:rPr>
        <w:t>ов</w:t>
      </w:r>
      <w:r w:rsidRPr="00845280">
        <w:rPr>
          <w:rFonts w:ascii="Times New Roman" w:hAnsi="Times New Roman"/>
          <w:sz w:val="24"/>
          <w:szCs w:val="24"/>
          <w:lang w:val="ru-RU"/>
        </w:rPr>
        <w:t>,</w:t>
      </w:r>
      <w:r>
        <w:rPr>
          <w:rFonts w:ascii="Times New Roman" w:hAnsi="Times New Roman"/>
          <w:sz w:val="24"/>
          <w:szCs w:val="24"/>
          <w:lang w:val="ru-RU"/>
        </w:rPr>
        <w:t xml:space="preserve"> и передача</w:t>
      </w:r>
      <w:r w:rsidRPr="00845280">
        <w:rPr>
          <w:rFonts w:ascii="Times New Roman" w:hAnsi="Times New Roman"/>
          <w:sz w:val="24"/>
          <w:szCs w:val="24"/>
          <w:lang w:val="ru-RU"/>
        </w:rPr>
        <w:t xml:space="preserve"> </w:t>
      </w:r>
      <w:r>
        <w:rPr>
          <w:rFonts w:ascii="Times New Roman" w:hAnsi="Times New Roman"/>
          <w:sz w:val="24"/>
          <w:szCs w:val="24"/>
          <w:lang w:val="ru-RU"/>
        </w:rPr>
        <w:t>17,</w:t>
      </w:r>
      <w:r w:rsidRPr="000D084C">
        <w:rPr>
          <w:rFonts w:ascii="Times New Roman" w:hAnsi="Times New Roman"/>
          <w:sz w:val="24"/>
          <w:szCs w:val="24"/>
          <w:lang w:val="ru-RU"/>
        </w:rPr>
        <w:t>6</w:t>
      </w:r>
      <w:r>
        <w:rPr>
          <w:rFonts w:ascii="Times New Roman" w:hAnsi="Times New Roman"/>
          <w:sz w:val="24"/>
          <w:szCs w:val="24"/>
          <w:lang w:val="ru-RU"/>
        </w:rPr>
        <w:t xml:space="preserve"> млн.</w:t>
      </w:r>
      <w:r w:rsidRPr="00845280">
        <w:rPr>
          <w:rFonts w:ascii="Times New Roman" w:hAnsi="Times New Roman"/>
          <w:sz w:val="24"/>
          <w:szCs w:val="24"/>
          <w:lang w:val="ru-RU"/>
        </w:rPr>
        <w:t xml:space="preserve"> </w:t>
      </w:r>
      <w:r>
        <w:rPr>
          <w:rFonts w:ascii="Times New Roman" w:hAnsi="Times New Roman"/>
          <w:sz w:val="24"/>
          <w:szCs w:val="24"/>
          <w:lang w:val="ru-RU"/>
        </w:rPr>
        <w:t>ЕСВ</w:t>
      </w:r>
      <w:r w:rsidRPr="00845280">
        <w:rPr>
          <w:rFonts w:ascii="Times New Roman" w:hAnsi="Times New Roman"/>
          <w:sz w:val="24"/>
          <w:szCs w:val="24"/>
          <w:lang w:val="ru-RU"/>
        </w:rPr>
        <w:t>.</w:t>
      </w:r>
    </w:p>
    <w:p w:rsidR="007D6401" w:rsidRDefault="007D6401" w:rsidP="007D6401">
      <w:pPr>
        <w:spacing w:after="120" w:line="240" w:lineRule="auto"/>
        <w:ind w:firstLine="567"/>
        <w:jc w:val="both"/>
        <w:rPr>
          <w:rFonts w:ascii="Times New Roman" w:hAnsi="Times New Roman"/>
          <w:sz w:val="24"/>
          <w:szCs w:val="24"/>
          <w:lang w:val="ru-RU"/>
        </w:rPr>
      </w:pPr>
      <w:r w:rsidRPr="000361B0">
        <w:rPr>
          <w:rFonts w:ascii="Times New Roman" w:hAnsi="Times New Roman"/>
          <w:sz w:val="24"/>
          <w:szCs w:val="24"/>
          <w:lang w:val="ru-RU"/>
        </w:rPr>
        <w:t xml:space="preserve">По схеме зеленых инвестиций </w:t>
      </w:r>
      <w:r>
        <w:rPr>
          <w:rFonts w:ascii="Times New Roman" w:hAnsi="Times New Roman"/>
          <w:sz w:val="24"/>
          <w:szCs w:val="24"/>
          <w:lang w:val="ru-RU"/>
        </w:rPr>
        <w:t>(17 статья Киотского протокола)</w:t>
      </w:r>
      <w:r w:rsidRPr="000361B0">
        <w:rPr>
          <w:rFonts w:ascii="Times New Roman" w:hAnsi="Times New Roman"/>
          <w:sz w:val="24"/>
          <w:szCs w:val="24"/>
          <w:lang w:val="ru-RU"/>
        </w:rPr>
        <w:t xml:space="preserve"> </w:t>
      </w:r>
      <w:r>
        <w:rPr>
          <w:rFonts w:ascii="Times New Roman" w:hAnsi="Times New Roman"/>
          <w:sz w:val="24"/>
          <w:szCs w:val="24"/>
          <w:lang w:val="ru-RU"/>
        </w:rPr>
        <w:t xml:space="preserve">Россией </w:t>
      </w:r>
      <w:r w:rsidRPr="000361B0">
        <w:rPr>
          <w:rFonts w:ascii="Times New Roman" w:hAnsi="Times New Roman"/>
          <w:sz w:val="24"/>
          <w:szCs w:val="24"/>
          <w:lang w:val="ru-RU"/>
        </w:rPr>
        <w:t>не проведено и не подготовлено ни одной сделки.</w:t>
      </w:r>
    </w:p>
    <w:p w:rsidR="007D6401" w:rsidRDefault="007D6401" w:rsidP="007D6401">
      <w:pPr>
        <w:spacing w:after="120"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То, что Россия вопреки опасениям Евросоюза не только не попыталась «подмять» «киотский» рынок, ничем не рискуя,  с тем огромным количеством свободных квот, которым она до сих пор располагает, но и фактически самоустранилась с этого рынка, пытаясь лишь в последний момент немного наверстать упущенное, лучше всего объясняется, наверное, «Теорией перспектив»</w:t>
      </w:r>
      <w:r>
        <w:rPr>
          <w:rStyle w:val="ad"/>
          <w:rFonts w:ascii="Times New Roman" w:hAnsi="Times New Roman"/>
          <w:sz w:val="24"/>
          <w:szCs w:val="24"/>
          <w:lang w:val="ru-RU"/>
        </w:rPr>
        <w:footnoteReference w:id="9"/>
      </w:r>
      <w:r>
        <w:rPr>
          <w:rFonts w:ascii="Times New Roman" w:hAnsi="Times New Roman"/>
          <w:sz w:val="24"/>
          <w:szCs w:val="24"/>
          <w:lang w:val="ru-RU"/>
        </w:rPr>
        <w:t>. Надежду внушает то, что та же теория предсказывает склонность к рискованным</w:t>
      </w:r>
      <w:proofErr w:type="gramEnd"/>
      <w:r>
        <w:rPr>
          <w:rFonts w:ascii="Times New Roman" w:hAnsi="Times New Roman"/>
          <w:sz w:val="24"/>
          <w:szCs w:val="24"/>
          <w:lang w:val="ru-RU"/>
        </w:rPr>
        <w:t xml:space="preserve"> решениям перед лицом угрозы понести существенные убытки.</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Судя по тому, как в настоящее время идут глобальные климатические переговоры, механизм совместного осуществления может прекратить свое существование к концу 2012 года, а с ним и оборвется единственная ниточка, реально связывающая пока Россию с углеродным рынком.</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Конечно, место на углеродном рынке или внутренние механизмы регулирования парниковых выбросов не самоцель. Но помимо того, что «</w:t>
      </w:r>
      <w:r>
        <w:rPr>
          <w:rFonts w:ascii="Times New Roman" w:hAnsi="Times New Roman"/>
          <w:sz w:val="24"/>
          <w:szCs w:val="24"/>
        </w:rPr>
        <w:t>CO</w:t>
      </w:r>
      <w:r w:rsidRPr="005B53E8">
        <w:rPr>
          <w:rFonts w:ascii="Times New Roman" w:hAnsi="Times New Roman"/>
          <w:sz w:val="24"/>
          <w:szCs w:val="24"/>
          <w:vertAlign w:val="subscript"/>
          <w:lang w:val="ru-RU"/>
        </w:rPr>
        <w:t>2</w:t>
      </w:r>
      <w:r w:rsidRPr="005B53E8">
        <w:rPr>
          <w:rFonts w:ascii="Times New Roman" w:hAnsi="Times New Roman"/>
          <w:sz w:val="24"/>
          <w:szCs w:val="24"/>
          <w:lang w:val="ru-RU"/>
        </w:rPr>
        <w:t>-</w:t>
      </w:r>
      <w:r>
        <w:rPr>
          <w:rFonts w:ascii="Times New Roman" w:hAnsi="Times New Roman"/>
          <w:sz w:val="24"/>
          <w:szCs w:val="24"/>
          <w:lang w:val="ru-RU"/>
        </w:rPr>
        <w:t>эквивалент»</w:t>
      </w:r>
      <w:r w:rsidRPr="00AE6C96">
        <w:rPr>
          <w:rFonts w:ascii="Times New Roman" w:hAnsi="Times New Roman"/>
          <w:sz w:val="24"/>
          <w:szCs w:val="24"/>
          <w:lang w:val="ru-RU"/>
        </w:rPr>
        <w:t xml:space="preserve"> (</w:t>
      </w:r>
      <w:r>
        <w:rPr>
          <w:rFonts w:ascii="Times New Roman" w:hAnsi="Times New Roman"/>
          <w:sz w:val="24"/>
          <w:szCs w:val="24"/>
        </w:rPr>
        <w:t>CO</w:t>
      </w:r>
      <w:r w:rsidRPr="00AE6C96">
        <w:rPr>
          <w:rFonts w:ascii="Times New Roman" w:hAnsi="Times New Roman"/>
          <w:sz w:val="24"/>
          <w:szCs w:val="24"/>
          <w:lang w:val="ru-RU"/>
        </w:rPr>
        <w:t>2-</w:t>
      </w:r>
      <w:r>
        <w:rPr>
          <w:rFonts w:ascii="Times New Roman" w:hAnsi="Times New Roman"/>
          <w:sz w:val="24"/>
          <w:szCs w:val="24"/>
        </w:rPr>
        <w:t>e</w:t>
      </w:r>
      <w:r w:rsidRPr="00AE6C96">
        <w:rPr>
          <w:rFonts w:ascii="Times New Roman" w:hAnsi="Times New Roman"/>
          <w:sz w:val="24"/>
          <w:szCs w:val="24"/>
          <w:lang w:val="ru-RU"/>
        </w:rPr>
        <w:t>)</w:t>
      </w:r>
      <w:r>
        <w:rPr>
          <w:rFonts w:ascii="Times New Roman" w:hAnsi="Times New Roman"/>
          <w:sz w:val="24"/>
          <w:szCs w:val="24"/>
          <w:lang w:val="ru-RU"/>
        </w:rPr>
        <w:t xml:space="preserve"> играет роль основного показателя и рыночного инструмента в реальной климатической политике, это универсальная и удобная расчетная единица, фигурально выражаясь, «всеобщий эквивалент стоимости» в мире низкоуглеродной экономики, «чистой», «зеленой» энергетики, энергоэффективности, энергосбережения, универсальный инструмент, который к </w:t>
      </w:r>
      <w:proofErr w:type="gramStart"/>
      <w:r>
        <w:rPr>
          <w:rFonts w:ascii="Times New Roman" w:hAnsi="Times New Roman"/>
          <w:sz w:val="24"/>
          <w:szCs w:val="24"/>
          <w:lang w:val="ru-RU"/>
        </w:rPr>
        <w:t>тому</w:t>
      </w:r>
      <w:proofErr w:type="gramEnd"/>
      <w:r>
        <w:rPr>
          <w:rFonts w:ascii="Times New Roman" w:hAnsi="Times New Roman"/>
          <w:sz w:val="24"/>
          <w:szCs w:val="24"/>
          <w:lang w:val="ru-RU"/>
        </w:rPr>
        <w:t xml:space="preserve"> же снабжен развитым методологическим аппаратом перерасчета в тонны условного топлива, киловатты электроэнергии и т.д.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Если и когда-нибудь фрагментированные, но родственные системы сокращения парниковых выбросов, энергоэффективности, энергосбережения, обязательств, </w:t>
      </w:r>
      <w:r>
        <w:rPr>
          <w:rFonts w:ascii="Times New Roman" w:hAnsi="Times New Roman"/>
          <w:sz w:val="24"/>
          <w:szCs w:val="24"/>
          <w:lang w:val="ru-RU"/>
        </w:rPr>
        <w:lastRenderedPageBreak/>
        <w:t xml:space="preserve">сертификатов, кредитов возобновляемой энергетики и т.д. будут сращиваться, то только на основе </w:t>
      </w:r>
      <w:r>
        <w:rPr>
          <w:rFonts w:ascii="Times New Roman" w:hAnsi="Times New Roman"/>
          <w:sz w:val="24"/>
          <w:szCs w:val="24"/>
        </w:rPr>
        <w:t>CO</w:t>
      </w:r>
      <w:r w:rsidRPr="00AE6C96">
        <w:rPr>
          <w:rFonts w:ascii="Times New Roman" w:hAnsi="Times New Roman"/>
          <w:sz w:val="24"/>
          <w:szCs w:val="24"/>
          <w:lang w:val="ru-RU"/>
        </w:rPr>
        <w:t>2-</w:t>
      </w:r>
      <w:r>
        <w:rPr>
          <w:rFonts w:ascii="Times New Roman" w:hAnsi="Times New Roman"/>
          <w:sz w:val="24"/>
          <w:szCs w:val="24"/>
        </w:rPr>
        <w:t>e</w:t>
      </w:r>
      <w:r w:rsidRPr="00AE6C96">
        <w:rPr>
          <w:rFonts w:ascii="Times New Roman" w:hAnsi="Times New Roman"/>
          <w:sz w:val="24"/>
          <w:szCs w:val="24"/>
          <w:lang w:val="ru-RU"/>
        </w:rPr>
        <w:t>.</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Конечно, весьма важным является твердое намерение </w:t>
      </w:r>
      <w:proofErr w:type="gramStart"/>
      <w:r>
        <w:rPr>
          <w:rFonts w:ascii="Times New Roman" w:hAnsi="Times New Roman"/>
          <w:sz w:val="24"/>
          <w:szCs w:val="24"/>
          <w:lang w:val="ru-RU"/>
        </w:rPr>
        <w:t>России</w:t>
      </w:r>
      <w:proofErr w:type="gramEnd"/>
      <w:r>
        <w:rPr>
          <w:rFonts w:ascii="Times New Roman" w:hAnsi="Times New Roman"/>
          <w:sz w:val="24"/>
          <w:szCs w:val="24"/>
          <w:lang w:val="ru-RU"/>
        </w:rPr>
        <w:t xml:space="preserve"> и оставаться в международной системе мониторинга и отчетности вне зависимости от хода и результатов международных переговоров о будущем Киотского протокола, и постепенно развивать собственную климатическую политику. Но пока что ситуация такова, что с окончанием первого учетного периода Киотского протокола Россия остается вне какой бы то ни было внутренней или внешней системы климатических обязательств.</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Таким образом, во-первых, Россия рискует своим потенциально доминирующим местом на углеродном рынке, во-вторых, становится максимально уязвимой для политического, экономического давления извне, в-третьих, рискует отстать от глобальной тенденции перехода на </w:t>
      </w:r>
      <w:proofErr w:type="spellStart"/>
      <w:r>
        <w:rPr>
          <w:rFonts w:ascii="Times New Roman" w:hAnsi="Times New Roman"/>
          <w:sz w:val="24"/>
          <w:szCs w:val="24"/>
          <w:lang w:val="ru-RU"/>
        </w:rPr>
        <w:t>низкоуглеродный</w:t>
      </w:r>
      <w:proofErr w:type="spellEnd"/>
      <w:r>
        <w:rPr>
          <w:rFonts w:ascii="Times New Roman" w:hAnsi="Times New Roman"/>
          <w:sz w:val="24"/>
          <w:szCs w:val="24"/>
          <w:lang w:val="ru-RU"/>
        </w:rPr>
        <w:t xml:space="preserve"> путь развития, который, возможно, представляет собой новую энергетическую парадигму. А об этой парадигме говорят все больше. На последней встрече лидеров </w:t>
      </w:r>
      <w:proofErr w:type="spellStart"/>
      <w:r>
        <w:rPr>
          <w:rFonts w:ascii="Times New Roman" w:hAnsi="Times New Roman"/>
          <w:sz w:val="24"/>
          <w:szCs w:val="24"/>
          <w:lang w:val="ru-RU"/>
        </w:rPr>
        <w:t>АТЭС</w:t>
      </w:r>
      <w:proofErr w:type="spellEnd"/>
      <w:r>
        <w:rPr>
          <w:rFonts w:ascii="Times New Roman" w:hAnsi="Times New Roman"/>
          <w:sz w:val="24"/>
          <w:szCs w:val="24"/>
          <w:lang w:val="ru-RU"/>
        </w:rPr>
        <w:t xml:space="preserve"> в Гонолулу (ноябрь 2011) была выражена решимость </w:t>
      </w:r>
      <w:proofErr w:type="gramStart"/>
      <w:r>
        <w:rPr>
          <w:rFonts w:ascii="Times New Roman" w:hAnsi="Times New Roman"/>
          <w:sz w:val="24"/>
          <w:szCs w:val="24"/>
          <w:lang w:val="ru-RU"/>
        </w:rPr>
        <w:t>ускорить</w:t>
      </w:r>
      <w:proofErr w:type="gramEnd"/>
      <w:r>
        <w:rPr>
          <w:rFonts w:ascii="Times New Roman" w:hAnsi="Times New Roman"/>
          <w:sz w:val="24"/>
          <w:szCs w:val="24"/>
          <w:lang w:val="ru-RU"/>
        </w:rPr>
        <w:t xml:space="preserve"> переход к низкоуглеродной экономике, а будущие инвестиции в «чистую» энергию, чистый воздух, экологии в регионе были оценены в десятки триллионов долларов.</w:t>
      </w:r>
    </w:p>
    <w:p w:rsidR="007D6401" w:rsidRPr="00AE6C96"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Об этом же говорит и отдельные разделы итоговой декларации «Группы 20-ти» (Канны, ноябрь 2011) «Содействуя чистой энергетике, зеленому росту, устойчивому развитию», «Ведя борьбу с изменением климата».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общем русле такого развития</w:t>
      </w:r>
      <w:r w:rsidRPr="004D4384">
        <w:rPr>
          <w:rFonts w:ascii="Times New Roman" w:hAnsi="Times New Roman"/>
          <w:sz w:val="24"/>
          <w:szCs w:val="24"/>
          <w:lang w:val="ru-RU"/>
        </w:rPr>
        <w:t xml:space="preserve">  весьма болезненным для российской экономики </w:t>
      </w:r>
      <w:r>
        <w:rPr>
          <w:rFonts w:ascii="Times New Roman" w:hAnsi="Times New Roman"/>
          <w:sz w:val="24"/>
          <w:szCs w:val="24"/>
          <w:lang w:val="ru-RU"/>
        </w:rPr>
        <w:t>может стать</w:t>
      </w:r>
      <w:r w:rsidRPr="004D4384">
        <w:rPr>
          <w:rFonts w:ascii="Times New Roman" w:hAnsi="Times New Roman"/>
          <w:sz w:val="24"/>
          <w:szCs w:val="24"/>
          <w:lang w:val="ru-RU"/>
        </w:rPr>
        <w:t xml:space="preserve"> вопрос о применении  жестких мер тарифного и нетарифного регулирования </w:t>
      </w:r>
      <w:r>
        <w:rPr>
          <w:rFonts w:ascii="Times New Roman" w:hAnsi="Times New Roman"/>
          <w:sz w:val="24"/>
          <w:szCs w:val="24"/>
          <w:lang w:val="ru-RU"/>
        </w:rPr>
        <w:t xml:space="preserve">в отношении </w:t>
      </w:r>
      <w:r w:rsidRPr="004D4384">
        <w:rPr>
          <w:rFonts w:ascii="Times New Roman" w:hAnsi="Times New Roman"/>
          <w:sz w:val="24"/>
          <w:szCs w:val="24"/>
          <w:lang w:val="ru-RU"/>
        </w:rPr>
        <w:t>углеродоемко</w:t>
      </w:r>
      <w:r>
        <w:rPr>
          <w:rFonts w:ascii="Times New Roman" w:hAnsi="Times New Roman"/>
          <w:sz w:val="24"/>
          <w:szCs w:val="24"/>
          <w:lang w:val="ru-RU"/>
        </w:rPr>
        <w:t>й</w:t>
      </w:r>
      <w:r w:rsidRPr="004D4384">
        <w:rPr>
          <w:rFonts w:ascii="Times New Roman" w:hAnsi="Times New Roman"/>
          <w:sz w:val="24"/>
          <w:szCs w:val="24"/>
          <w:lang w:val="ru-RU"/>
        </w:rPr>
        <w:t xml:space="preserve"> экспортируемой продукции/услуг, в том числе и из РФ.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то же время с</w:t>
      </w:r>
      <w:r w:rsidRPr="004D4384">
        <w:rPr>
          <w:rFonts w:ascii="Times New Roman" w:hAnsi="Times New Roman"/>
          <w:sz w:val="24"/>
          <w:szCs w:val="24"/>
          <w:lang w:val="ru-RU"/>
        </w:rPr>
        <w:t>уществовани</w:t>
      </w:r>
      <w:r>
        <w:rPr>
          <w:rFonts w:ascii="Times New Roman" w:hAnsi="Times New Roman"/>
          <w:sz w:val="24"/>
          <w:szCs w:val="24"/>
          <w:lang w:val="ru-RU"/>
        </w:rPr>
        <w:t>е</w:t>
      </w:r>
      <w:r w:rsidRPr="004D4384">
        <w:rPr>
          <w:rFonts w:ascii="Times New Roman" w:hAnsi="Times New Roman"/>
          <w:sz w:val="24"/>
          <w:szCs w:val="24"/>
          <w:lang w:val="ru-RU"/>
        </w:rPr>
        <w:t xml:space="preserve"> финансово-</w:t>
      </w:r>
      <w:proofErr w:type="gramStart"/>
      <w:r w:rsidRPr="004D4384">
        <w:rPr>
          <w:rFonts w:ascii="Times New Roman" w:hAnsi="Times New Roman"/>
          <w:sz w:val="24"/>
          <w:szCs w:val="24"/>
          <w:lang w:val="ru-RU"/>
        </w:rPr>
        <w:t>экономических механизмов</w:t>
      </w:r>
      <w:proofErr w:type="gramEnd"/>
      <w:r w:rsidRPr="004D4384">
        <w:rPr>
          <w:rFonts w:ascii="Times New Roman" w:hAnsi="Times New Roman"/>
          <w:sz w:val="24"/>
          <w:szCs w:val="24"/>
          <w:lang w:val="ru-RU"/>
        </w:rPr>
        <w:t xml:space="preserve"> контроля выбросов парниковых газов и стимулирования их сокращения за пределами России, в странах – торгово-экономических партнерах России, не может не оказывать все возрастающего влияния на деятельность российских компаний.  </w:t>
      </w:r>
    </w:p>
    <w:p w:rsidR="007D6401" w:rsidRDefault="007D6401" w:rsidP="007D6401">
      <w:pPr>
        <w:spacing w:after="120" w:line="240" w:lineRule="auto"/>
        <w:ind w:firstLine="567"/>
        <w:jc w:val="both"/>
        <w:rPr>
          <w:rFonts w:ascii="Times New Roman" w:hAnsi="Times New Roman"/>
          <w:sz w:val="24"/>
          <w:szCs w:val="24"/>
          <w:lang w:val="ru-RU"/>
        </w:rPr>
      </w:pPr>
      <w:proofErr w:type="gramStart"/>
      <w:r w:rsidRPr="004D4384">
        <w:rPr>
          <w:rFonts w:ascii="Times New Roman" w:hAnsi="Times New Roman"/>
          <w:sz w:val="24"/>
          <w:szCs w:val="24"/>
          <w:lang w:val="ru-RU"/>
        </w:rPr>
        <w:t>Поскольку на смену глобальной системе международных обязательств, в которую до конца 2012 года входит и Россия, приходят национальные и региональные системы регулирования,</w:t>
      </w:r>
      <w:r>
        <w:rPr>
          <w:rFonts w:ascii="Times New Roman" w:hAnsi="Times New Roman"/>
          <w:sz w:val="24"/>
          <w:szCs w:val="24"/>
          <w:lang w:val="ru-RU"/>
        </w:rPr>
        <w:t>,</w:t>
      </w:r>
      <w:r w:rsidRPr="004D4384">
        <w:rPr>
          <w:rFonts w:ascii="Times New Roman" w:hAnsi="Times New Roman"/>
          <w:sz w:val="24"/>
          <w:szCs w:val="24"/>
          <w:lang w:val="ru-RU"/>
        </w:rPr>
        <w:t xml:space="preserve"> международные секторальные системы регулирования, новые механизмы контроля выбросов парниковых газов и стимулирования их сокращения, проблема переноса жестких мер регулирования выбросов парниковых газов на экспортируемые продукцию/услуги будет обостряться, особенно для энергоемких отраслей тех стран, которые </w:t>
      </w:r>
      <w:r>
        <w:rPr>
          <w:rFonts w:ascii="Times New Roman" w:hAnsi="Times New Roman"/>
          <w:sz w:val="24"/>
          <w:szCs w:val="24"/>
          <w:lang w:val="ru-RU"/>
        </w:rPr>
        <w:t>своих</w:t>
      </w:r>
      <w:r w:rsidRPr="004D4384">
        <w:rPr>
          <w:rFonts w:ascii="Times New Roman" w:hAnsi="Times New Roman"/>
          <w:sz w:val="24"/>
          <w:szCs w:val="24"/>
          <w:lang w:val="ru-RU"/>
        </w:rPr>
        <w:t xml:space="preserve"> национальных систем</w:t>
      </w:r>
      <w:proofErr w:type="gramEnd"/>
      <w:r w:rsidRPr="004D4384">
        <w:rPr>
          <w:rFonts w:ascii="Times New Roman" w:hAnsi="Times New Roman"/>
          <w:sz w:val="24"/>
          <w:szCs w:val="24"/>
          <w:lang w:val="ru-RU"/>
        </w:rPr>
        <w:t xml:space="preserve"> </w:t>
      </w:r>
      <w:r>
        <w:rPr>
          <w:rFonts w:ascii="Times New Roman" w:hAnsi="Times New Roman"/>
          <w:sz w:val="24"/>
          <w:szCs w:val="24"/>
          <w:lang w:val="ru-RU"/>
        </w:rPr>
        <w:t xml:space="preserve">регулирования </w:t>
      </w:r>
      <w:r w:rsidRPr="004D4384">
        <w:rPr>
          <w:rFonts w:ascii="Times New Roman" w:hAnsi="Times New Roman"/>
          <w:sz w:val="24"/>
          <w:szCs w:val="24"/>
          <w:lang w:val="ru-RU"/>
        </w:rPr>
        <w:t xml:space="preserve">не развивают. </w:t>
      </w:r>
    </w:p>
    <w:p w:rsidR="007D6401" w:rsidRDefault="007D6401" w:rsidP="007D6401">
      <w:pPr>
        <w:spacing w:after="120" w:line="240" w:lineRule="auto"/>
        <w:ind w:firstLine="567"/>
        <w:jc w:val="both"/>
        <w:rPr>
          <w:rFonts w:ascii="Times New Roman" w:hAnsi="Times New Roman"/>
          <w:sz w:val="24"/>
          <w:szCs w:val="24"/>
          <w:lang w:val="ru-RU"/>
        </w:rPr>
      </w:pPr>
      <w:proofErr w:type="gramStart"/>
      <w:r w:rsidRPr="004D4384">
        <w:rPr>
          <w:rFonts w:ascii="Times New Roman" w:hAnsi="Times New Roman"/>
          <w:sz w:val="24"/>
          <w:szCs w:val="24"/>
          <w:lang w:val="ru-RU"/>
        </w:rPr>
        <w:t xml:space="preserve">Это обусловлено объяснимым стремлением государств как защитить свои рынки и национальных производителей от конкурентов, не обремененных «парниковыми» издержками, расширить внешние рынки для продвижения </w:t>
      </w:r>
      <w:proofErr w:type="spellStart"/>
      <w:r>
        <w:rPr>
          <w:rFonts w:ascii="Times New Roman" w:hAnsi="Times New Roman"/>
          <w:sz w:val="24"/>
          <w:szCs w:val="24"/>
          <w:lang w:val="ru-RU"/>
        </w:rPr>
        <w:t>низкоуглеродных</w:t>
      </w:r>
      <w:proofErr w:type="spellEnd"/>
      <w:r w:rsidRPr="004D4384">
        <w:rPr>
          <w:rFonts w:ascii="Times New Roman" w:hAnsi="Times New Roman"/>
          <w:sz w:val="24"/>
          <w:szCs w:val="24"/>
          <w:lang w:val="ru-RU"/>
        </w:rPr>
        <w:t xml:space="preserve"> технологий, так и  оказывать давление на те страны, которые не контролируют эмиссию парниковых газов, нивелируя тем самым глобальный эффект от снижения эмиссий парниковых газов на национальном и региональном уровнях. </w:t>
      </w:r>
      <w:proofErr w:type="gramEnd"/>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Такой «экологический протекционизм» не противоречит правилам ВТО и будет развиваться</w:t>
      </w:r>
      <w:r>
        <w:rPr>
          <w:rFonts w:ascii="Times New Roman" w:hAnsi="Times New Roman"/>
          <w:sz w:val="24"/>
          <w:szCs w:val="24"/>
          <w:lang w:val="ru-RU"/>
        </w:rPr>
        <w:t>.</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Евросоюз законодательно ввел требование о компенсации выбросов СО</w:t>
      </w:r>
      <w:proofErr w:type="gramStart"/>
      <w:r w:rsidRPr="004D4384">
        <w:rPr>
          <w:rFonts w:ascii="Times New Roman" w:hAnsi="Times New Roman"/>
          <w:sz w:val="24"/>
          <w:szCs w:val="24"/>
          <w:vertAlign w:val="subscript"/>
          <w:lang w:val="ru-RU"/>
        </w:rPr>
        <w:t>2</w:t>
      </w:r>
      <w:proofErr w:type="gramEnd"/>
      <w:r w:rsidRPr="004D4384">
        <w:rPr>
          <w:rFonts w:ascii="Times New Roman" w:hAnsi="Times New Roman"/>
          <w:sz w:val="24"/>
          <w:szCs w:val="24"/>
          <w:lang w:val="ru-RU"/>
        </w:rPr>
        <w:t xml:space="preserve"> от авиаперевозок «углеродными» квотами</w:t>
      </w:r>
      <w:r w:rsidRPr="002C3B69">
        <w:rPr>
          <w:rFonts w:ascii="Times New Roman" w:hAnsi="Times New Roman"/>
          <w:sz w:val="24"/>
          <w:szCs w:val="24"/>
          <w:lang w:val="ru-RU"/>
        </w:rPr>
        <w:t xml:space="preserve"> </w:t>
      </w:r>
      <w:r>
        <w:rPr>
          <w:rFonts w:ascii="Times New Roman" w:hAnsi="Times New Roman"/>
          <w:sz w:val="24"/>
          <w:szCs w:val="24"/>
          <w:lang w:val="ru-RU"/>
        </w:rPr>
        <w:t>у</w:t>
      </w:r>
      <w:r w:rsidRPr="004D4384">
        <w:rPr>
          <w:rFonts w:ascii="Times New Roman" w:hAnsi="Times New Roman"/>
          <w:sz w:val="24"/>
          <w:szCs w:val="24"/>
          <w:lang w:val="ru-RU"/>
        </w:rPr>
        <w:t xml:space="preserve">же с 1 января 2012 года. Российские авиакомпании вынуждены покупать квоты на аукционах или на рынке за все перелеты через  </w:t>
      </w:r>
      <w:r>
        <w:rPr>
          <w:rFonts w:ascii="Times New Roman" w:hAnsi="Times New Roman"/>
          <w:sz w:val="24"/>
          <w:szCs w:val="24"/>
          <w:lang w:val="ru-RU"/>
        </w:rPr>
        <w:t>территорию стран Евросоюза. В рамках этой же схемы на очереди международный морской транспорт.</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 xml:space="preserve">Ожидается применение и других «принуждающих» механизмов, таких как требование прямого квотирования выбросов, компенсации цены выбросов при экспорте/импорте продукции, введение международных стандартов энергоэффективности и углеродоемкости продукции, углеродная маркировка товаров и др.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Подобные меры включены и в законопроекты о чистой энергии и климате, которые обсуждаются в США.</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Но «пока гром не грянет, мужик не перекрестится». М</w:t>
      </w:r>
      <w:r w:rsidRPr="00790040">
        <w:rPr>
          <w:rFonts w:ascii="Times New Roman" w:hAnsi="Times New Roman"/>
          <w:sz w:val="24"/>
          <w:szCs w:val="24"/>
          <w:lang w:val="ru-RU"/>
        </w:rPr>
        <w:t>интранс</w:t>
      </w:r>
      <w:r>
        <w:rPr>
          <w:rFonts w:ascii="Times New Roman" w:hAnsi="Times New Roman"/>
          <w:sz w:val="24"/>
          <w:szCs w:val="24"/>
          <w:lang w:val="ru-RU"/>
        </w:rPr>
        <w:t xml:space="preserve"> РФ и</w:t>
      </w:r>
      <w:r w:rsidRPr="00790040">
        <w:rPr>
          <w:rFonts w:ascii="Times New Roman" w:hAnsi="Times New Roman"/>
          <w:sz w:val="24"/>
          <w:szCs w:val="24"/>
          <w:lang w:val="ru-RU"/>
        </w:rPr>
        <w:t xml:space="preserve"> авиакомпании  начали </w:t>
      </w:r>
      <w:r>
        <w:rPr>
          <w:rFonts w:ascii="Times New Roman" w:hAnsi="Times New Roman"/>
          <w:sz w:val="24"/>
          <w:szCs w:val="24"/>
          <w:lang w:val="ru-RU"/>
        </w:rPr>
        <w:t>«</w:t>
      </w:r>
      <w:r w:rsidRPr="00790040">
        <w:rPr>
          <w:rFonts w:ascii="Times New Roman" w:hAnsi="Times New Roman"/>
          <w:sz w:val="24"/>
          <w:szCs w:val="24"/>
          <w:lang w:val="ru-RU"/>
        </w:rPr>
        <w:t>креститься</w:t>
      </w:r>
      <w:r>
        <w:rPr>
          <w:rFonts w:ascii="Times New Roman" w:hAnsi="Times New Roman"/>
          <w:sz w:val="24"/>
          <w:szCs w:val="24"/>
          <w:lang w:val="ru-RU"/>
        </w:rPr>
        <w:t>»</w:t>
      </w:r>
      <w:r w:rsidRPr="00790040">
        <w:rPr>
          <w:rFonts w:ascii="Times New Roman" w:hAnsi="Times New Roman"/>
          <w:sz w:val="24"/>
          <w:szCs w:val="24"/>
          <w:lang w:val="ru-RU"/>
        </w:rPr>
        <w:t xml:space="preserve"> даже не при первых раскатах грома, то есть когда решение Евросоюза о включении гражданской авиации в свою систему нормирования и торговли еще формировалось, а когда оно уже принято и вряд ли можно помешать его осуществлению.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Т</w:t>
      </w:r>
      <w:r w:rsidRPr="00790040">
        <w:rPr>
          <w:rFonts w:ascii="Times New Roman" w:hAnsi="Times New Roman"/>
          <w:sz w:val="24"/>
          <w:szCs w:val="24"/>
          <w:lang w:val="ru-RU"/>
        </w:rPr>
        <w:t>а же ситуация повторяется с морским судоходством и экспортерами, когда очевидная и почти неизбежная перспектива вызывает реакцию, основанную на проверенных временем принципах «авось пронесет» и « да</w:t>
      </w:r>
      <w:r>
        <w:rPr>
          <w:rFonts w:ascii="Times New Roman" w:hAnsi="Times New Roman"/>
          <w:sz w:val="24"/>
          <w:szCs w:val="24"/>
          <w:lang w:val="ru-RU"/>
        </w:rPr>
        <w:t xml:space="preserve"> минет нас чаша сия». При всем </w:t>
      </w:r>
      <w:r w:rsidRPr="00790040">
        <w:rPr>
          <w:rFonts w:ascii="Times New Roman" w:hAnsi="Times New Roman"/>
          <w:sz w:val="24"/>
          <w:szCs w:val="24"/>
          <w:lang w:val="ru-RU"/>
        </w:rPr>
        <w:t>том</w:t>
      </w:r>
      <w:r>
        <w:rPr>
          <w:rFonts w:ascii="Times New Roman" w:hAnsi="Times New Roman"/>
          <w:sz w:val="24"/>
          <w:szCs w:val="24"/>
          <w:lang w:val="ru-RU"/>
        </w:rPr>
        <w:t>, что</w:t>
      </w:r>
      <w:r w:rsidRPr="00790040">
        <w:rPr>
          <w:rFonts w:ascii="Times New Roman" w:hAnsi="Times New Roman"/>
          <w:sz w:val="24"/>
          <w:szCs w:val="24"/>
          <w:lang w:val="ru-RU"/>
        </w:rPr>
        <w:t xml:space="preserve"> вопрос о </w:t>
      </w:r>
      <w:r>
        <w:rPr>
          <w:rFonts w:ascii="Times New Roman" w:hAnsi="Times New Roman"/>
          <w:sz w:val="24"/>
          <w:szCs w:val="24"/>
          <w:lang w:val="ru-RU"/>
        </w:rPr>
        <w:t>регулировании</w:t>
      </w:r>
      <w:r w:rsidRPr="00790040">
        <w:rPr>
          <w:rFonts w:ascii="Times New Roman" w:hAnsi="Times New Roman"/>
          <w:sz w:val="24"/>
          <w:szCs w:val="24"/>
          <w:lang w:val="ru-RU"/>
        </w:rPr>
        <w:t xml:space="preserve"> парниковых эмиссий уже трудно игнорировать</w:t>
      </w:r>
      <w:r>
        <w:rPr>
          <w:rFonts w:ascii="Times New Roman" w:hAnsi="Times New Roman"/>
          <w:sz w:val="24"/>
          <w:szCs w:val="24"/>
          <w:lang w:val="ru-RU"/>
        </w:rPr>
        <w:t>, но к</w:t>
      </w:r>
      <w:r w:rsidRPr="00790040">
        <w:rPr>
          <w:rFonts w:ascii="Times New Roman" w:hAnsi="Times New Roman"/>
          <w:sz w:val="24"/>
          <w:szCs w:val="24"/>
          <w:lang w:val="ru-RU"/>
        </w:rPr>
        <w:t xml:space="preserve">ак </w:t>
      </w:r>
      <w:proofErr w:type="gramStart"/>
      <w:r w:rsidRPr="00790040">
        <w:rPr>
          <w:rFonts w:ascii="Times New Roman" w:hAnsi="Times New Roman"/>
          <w:sz w:val="24"/>
          <w:szCs w:val="24"/>
          <w:lang w:val="ru-RU"/>
        </w:rPr>
        <w:t>это</w:t>
      </w:r>
      <w:proofErr w:type="gramEnd"/>
      <w:r w:rsidRPr="00790040">
        <w:rPr>
          <w:rFonts w:ascii="Times New Roman" w:hAnsi="Times New Roman"/>
          <w:sz w:val="24"/>
          <w:szCs w:val="24"/>
          <w:lang w:val="ru-RU"/>
        </w:rPr>
        <w:t xml:space="preserve"> ни парадоксально, не те, кого эта проблема и эти риски прямо касаются, то есть не бизнес обращаются к власти, а Президент</w:t>
      </w:r>
      <w:r>
        <w:rPr>
          <w:rFonts w:ascii="Times New Roman" w:hAnsi="Times New Roman"/>
          <w:sz w:val="24"/>
          <w:szCs w:val="24"/>
          <w:lang w:val="ru-RU"/>
        </w:rPr>
        <w:t xml:space="preserve"> РФ</w:t>
      </w:r>
      <w:r w:rsidRPr="00790040">
        <w:rPr>
          <w:rFonts w:ascii="Times New Roman" w:hAnsi="Times New Roman"/>
          <w:sz w:val="24"/>
          <w:szCs w:val="24"/>
          <w:lang w:val="ru-RU"/>
        </w:rPr>
        <w:t xml:space="preserve"> </w:t>
      </w:r>
      <w:r>
        <w:rPr>
          <w:rFonts w:ascii="Times New Roman" w:hAnsi="Times New Roman"/>
          <w:sz w:val="24"/>
          <w:szCs w:val="24"/>
          <w:lang w:val="ru-RU"/>
        </w:rPr>
        <w:t>обратился</w:t>
      </w:r>
      <w:r w:rsidRPr="00790040">
        <w:rPr>
          <w:rFonts w:ascii="Times New Roman" w:hAnsi="Times New Roman"/>
          <w:sz w:val="24"/>
          <w:szCs w:val="24"/>
          <w:lang w:val="ru-RU"/>
        </w:rPr>
        <w:t xml:space="preserve"> к бизнесу с предложением подумать, что можно сделать</w:t>
      </w:r>
      <w:r>
        <w:rPr>
          <w:rFonts w:ascii="Times New Roman" w:hAnsi="Times New Roman"/>
          <w:sz w:val="24"/>
          <w:szCs w:val="24"/>
          <w:lang w:val="ru-RU"/>
        </w:rPr>
        <w:t>, на Заседании Комиссии по модернизации 27 июня с.г.</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настоящее время участие России в Киотском протоколе к </w:t>
      </w:r>
      <w:proofErr w:type="spellStart"/>
      <w:r w:rsidRPr="004D4384">
        <w:rPr>
          <w:rFonts w:ascii="Times New Roman" w:hAnsi="Times New Roman"/>
          <w:sz w:val="24"/>
          <w:szCs w:val="24"/>
          <w:lang w:val="ru-RU"/>
        </w:rPr>
        <w:t>РКИК</w:t>
      </w:r>
      <w:proofErr w:type="spellEnd"/>
      <w:r w:rsidRPr="004D4384">
        <w:rPr>
          <w:rFonts w:ascii="Times New Roman" w:hAnsi="Times New Roman"/>
          <w:sz w:val="24"/>
          <w:szCs w:val="24"/>
          <w:lang w:val="ru-RU"/>
        </w:rPr>
        <w:t xml:space="preserve"> ООН обеспечивает </w:t>
      </w:r>
      <w:r>
        <w:rPr>
          <w:rFonts w:ascii="Times New Roman" w:hAnsi="Times New Roman"/>
          <w:sz w:val="24"/>
          <w:szCs w:val="24"/>
          <w:lang w:val="ru-RU"/>
        </w:rPr>
        <w:t>международно-правовую</w:t>
      </w:r>
      <w:r w:rsidRPr="004D4384">
        <w:rPr>
          <w:rFonts w:ascii="Times New Roman" w:hAnsi="Times New Roman"/>
          <w:sz w:val="24"/>
          <w:szCs w:val="24"/>
          <w:lang w:val="ru-RU"/>
        </w:rPr>
        <w:t xml:space="preserve"> защиту российских компаний от «углеродного» регулирования извне. </w:t>
      </w:r>
      <w:proofErr w:type="gramStart"/>
      <w:r w:rsidRPr="004D4384">
        <w:rPr>
          <w:rFonts w:ascii="Times New Roman" w:hAnsi="Times New Roman"/>
          <w:sz w:val="24"/>
          <w:szCs w:val="24"/>
          <w:lang w:val="ru-RU"/>
        </w:rPr>
        <w:t>Однако после окончания действия протокола в 2012 году</w:t>
      </w:r>
      <w:r>
        <w:rPr>
          <w:rFonts w:ascii="Times New Roman" w:hAnsi="Times New Roman"/>
          <w:sz w:val="24"/>
          <w:szCs w:val="24"/>
          <w:lang w:val="ru-RU"/>
        </w:rPr>
        <w:t xml:space="preserve"> при отсутствии национальной системы регулирования парниковых эмиссий </w:t>
      </w:r>
      <w:r w:rsidRPr="004D4384">
        <w:rPr>
          <w:rFonts w:ascii="Times New Roman" w:hAnsi="Times New Roman"/>
          <w:sz w:val="24"/>
          <w:szCs w:val="24"/>
          <w:lang w:val="ru-RU"/>
        </w:rPr>
        <w:t xml:space="preserve"> и при </w:t>
      </w:r>
      <w:r>
        <w:rPr>
          <w:rFonts w:ascii="Times New Roman" w:hAnsi="Times New Roman"/>
          <w:sz w:val="24"/>
          <w:szCs w:val="24"/>
          <w:lang w:val="ru-RU"/>
        </w:rPr>
        <w:t xml:space="preserve">отказе участвовать в </w:t>
      </w:r>
      <w:proofErr w:type="spellStart"/>
      <w:r>
        <w:rPr>
          <w:rFonts w:ascii="Times New Roman" w:hAnsi="Times New Roman"/>
          <w:sz w:val="24"/>
          <w:szCs w:val="24"/>
          <w:lang w:val="ru-RU"/>
        </w:rPr>
        <w:t>пост-К</w:t>
      </w:r>
      <w:r w:rsidRPr="004D4384">
        <w:rPr>
          <w:rFonts w:ascii="Times New Roman" w:hAnsi="Times New Roman"/>
          <w:sz w:val="24"/>
          <w:szCs w:val="24"/>
          <w:lang w:val="ru-RU"/>
        </w:rPr>
        <w:t>иотском</w:t>
      </w:r>
      <w:proofErr w:type="spellEnd"/>
      <w:r w:rsidRPr="004D4384">
        <w:rPr>
          <w:rFonts w:ascii="Times New Roman" w:hAnsi="Times New Roman"/>
          <w:sz w:val="24"/>
          <w:szCs w:val="24"/>
          <w:lang w:val="ru-RU"/>
        </w:rPr>
        <w:t xml:space="preserve"> соглашении (делегация РФ на международных переговорах по </w:t>
      </w:r>
      <w:proofErr w:type="spellStart"/>
      <w:r w:rsidRPr="004D4384">
        <w:rPr>
          <w:rFonts w:ascii="Times New Roman" w:hAnsi="Times New Roman"/>
          <w:sz w:val="24"/>
          <w:szCs w:val="24"/>
          <w:lang w:val="ru-RU"/>
        </w:rPr>
        <w:t>РКИК</w:t>
      </w:r>
      <w:proofErr w:type="spellEnd"/>
      <w:r w:rsidRPr="004D4384">
        <w:rPr>
          <w:rFonts w:ascii="Times New Roman" w:hAnsi="Times New Roman"/>
          <w:sz w:val="24"/>
          <w:szCs w:val="24"/>
          <w:lang w:val="ru-RU"/>
        </w:rPr>
        <w:t xml:space="preserve"> официально заявила об отказе участвовать в Киото-2 без крупнейших эмиттеров</w:t>
      </w:r>
      <w:r>
        <w:rPr>
          <w:rFonts w:ascii="Times New Roman" w:hAnsi="Times New Roman"/>
          <w:sz w:val="24"/>
          <w:szCs w:val="24"/>
          <w:lang w:val="ru-RU"/>
        </w:rPr>
        <w:t>) не будет никаких оснований ожидать льготного положения или хотя бы сохранения статус-кво.</w:t>
      </w:r>
      <w:proofErr w:type="gramEnd"/>
      <w:r w:rsidRPr="004D4384">
        <w:rPr>
          <w:rFonts w:ascii="Times New Roman" w:hAnsi="Times New Roman"/>
          <w:sz w:val="24"/>
          <w:szCs w:val="24"/>
          <w:lang w:val="ru-RU"/>
        </w:rPr>
        <w:t xml:space="preserve"> </w:t>
      </w:r>
      <w:r>
        <w:rPr>
          <w:rFonts w:ascii="Times New Roman" w:hAnsi="Times New Roman"/>
          <w:sz w:val="24"/>
          <w:szCs w:val="24"/>
          <w:lang w:val="ru-RU"/>
        </w:rPr>
        <w:t>К</w:t>
      </w:r>
      <w:r w:rsidRPr="004D4384">
        <w:rPr>
          <w:rFonts w:ascii="Times New Roman" w:hAnsi="Times New Roman"/>
          <w:sz w:val="24"/>
          <w:szCs w:val="24"/>
          <w:lang w:val="ru-RU"/>
        </w:rPr>
        <w:t xml:space="preserve"> странам, не имеющим международных или национальных </w:t>
      </w:r>
      <w:r>
        <w:rPr>
          <w:rFonts w:ascii="Times New Roman" w:hAnsi="Times New Roman"/>
          <w:sz w:val="24"/>
          <w:szCs w:val="24"/>
          <w:lang w:val="ru-RU"/>
        </w:rPr>
        <w:t xml:space="preserve">количественных </w:t>
      </w:r>
      <w:r w:rsidRPr="004D4384">
        <w:rPr>
          <w:rFonts w:ascii="Times New Roman" w:hAnsi="Times New Roman"/>
          <w:sz w:val="24"/>
          <w:szCs w:val="24"/>
          <w:lang w:val="ru-RU"/>
        </w:rPr>
        <w:t xml:space="preserve">обязательств по ограничению выбросов, </w:t>
      </w:r>
      <w:r>
        <w:rPr>
          <w:rFonts w:ascii="Times New Roman" w:hAnsi="Times New Roman"/>
          <w:sz w:val="24"/>
          <w:szCs w:val="24"/>
          <w:lang w:val="ru-RU"/>
        </w:rPr>
        <w:t>будут</w:t>
      </w:r>
      <w:r w:rsidRPr="004D4384">
        <w:rPr>
          <w:rFonts w:ascii="Times New Roman" w:hAnsi="Times New Roman"/>
          <w:sz w:val="24"/>
          <w:szCs w:val="24"/>
          <w:lang w:val="ru-RU"/>
        </w:rPr>
        <w:t xml:space="preserve"> со всеми основаниями применены жесткие меры </w:t>
      </w:r>
      <w:r>
        <w:rPr>
          <w:rFonts w:ascii="Times New Roman" w:hAnsi="Times New Roman"/>
          <w:sz w:val="24"/>
          <w:szCs w:val="24"/>
          <w:lang w:val="ru-RU"/>
        </w:rPr>
        <w:t xml:space="preserve">давления или прямого </w:t>
      </w:r>
      <w:r w:rsidRPr="004D4384">
        <w:rPr>
          <w:rFonts w:ascii="Times New Roman" w:hAnsi="Times New Roman"/>
          <w:sz w:val="24"/>
          <w:szCs w:val="24"/>
          <w:lang w:val="ru-RU"/>
        </w:rPr>
        <w:t>регулирования.</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В 2002 г. российский экспорт составил 106,7 млрд. долларов США, а его углеродоемкость, по экспертным оценкам,   372 млн. т СО</w:t>
      </w:r>
      <w:r w:rsidRPr="004D4384">
        <w:rPr>
          <w:rFonts w:ascii="Times New Roman" w:hAnsi="Times New Roman"/>
          <w:sz w:val="24"/>
          <w:szCs w:val="24"/>
          <w:vertAlign w:val="subscript"/>
          <w:lang w:val="ru-RU"/>
        </w:rPr>
        <w:t>2</w:t>
      </w:r>
      <w:r w:rsidRPr="004D4384">
        <w:rPr>
          <w:rFonts w:ascii="Times New Roman" w:hAnsi="Times New Roman"/>
          <w:sz w:val="24"/>
          <w:szCs w:val="24"/>
          <w:lang w:val="ru-RU"/>
        </w:rPr>
        <w:t xml:space="preserve">-эквивалента </w:t>
      </w:r>
      <w:r w:rsidRPr="004D4384">
        <w:rPr>
          <w:rStyle w:val="ad"/>
          <w:rFonts w:ascii="Times New Roman" w:hAnsi="Times New Roman"/>
          <w:sz w:val="24"/>
          <w:szCs w:val="24"/>
          <w:lang w:val="ru-RU"/>
        </w:rPr>
        <w:footnoteReference w:id="10"/>
      </w:r>
      <w:r w:rsidRPr="004D4384">
        <w:rPr>
          <w:rFonts w:ascii="Times New Roman" w:hAnsi="Times New Roman"/>
          <w:sz w:val="24"/>
          <w:szCs w:val="24"/>
          <w:lang w:val="ru-RU"/>
        </w:rPr>
        <w:t xml:space="preserve">. Из них не менее 80 млн. т приходится на экспорт  только в три страны – члена ЕС,  крупнейших торговых партнеров России (Германия, Италия, Нидерланды). </w:t>
      </w:r>
      <w:r>
        <w:rPr>
          <w:rFonts w:ascii="Times New Roman" w:hAnsi="Times New Roman"/>
          <w:sz w:val="24"/>
          <w:szCs w:val="24"/>
          <w:lang w:val="ru-RU"/>
        </w:rPr>
        <w:t xml:space="preserve">По правилам ВТО пошлина на углеродное содержание этого экспорта может быть эквивалентна соответствующей рыночной цене </w:t>
      </w:r>
      <w:r>
        <w:rPr>
          <w:rFonts w:ascii="Times New Roman" w:hAnsi="Times New Roman"/>
          <w:sz w:val="24"/>
          <w:szCs w:val="24"/>
        </w:rPr>
        <w:t>EUA</w:t>
      </w:r>
      <w:r>
        <w:rPr>
          <w:rFonts w:ascii="Times New Roman" w:hAnsi="Times New Roman"/>
          <w:sz w:val="24"/>
          <w:szCs w:val="24"/>
          <w:lang w:val="ru-RU"/>
        </w:rPr>
        <w:t xml:space="preserve">, которая в </w:t>
      </w:r>
      <w:proofErr w:type="spellStart"/>
      <w:proofErr w:type="gramStart"/>
      <w:r>
        <w:rPr>
          <w:rFonts w:ascii="Times New Roman" w:hAnsi="Times New Roman"/>
          <w:sz w:val="24"/>
          <w:szCs w:val="24"/>
          <w:lang w:val="ru-RU"/>
        </w:rPr>
        <w:t>пост-Киотский</w:t>
      </w:r>
      <w:proofErr w:type="spellEnd"/>
      <w:proofErr w:type="gramEnd"/>
      <w:r>
        <w:rPr>
          <w:rFonts w:ascii="Times New Roman" w:hAnsi="Times New Roman"/>
          <w:sz w:val="24"/>
          <w:szCs w:val="24"/>
          <w:lang w:val="ru-RU"/>
        </w:rPr>
        <w:t xml:space="preserve"> период, по разным оценкам, может составить 30 - 50 Евро и более.</w:t>
      </w:r>
      <w:r w:rsidRPr="004D4384">
        <w:rPr>
          <w:rFonts w:ascii="Times New Roman" w:hAnsi="Times New Roman"/>
          <w:sz w:val="24"/>
          <w:szCs w:val="24"/>
          <w:lang w:val="ru-RU"/>
        </w:rPr>
        <w:t xml:space="preserve"> Таким образом, только обложение пошлиной этих объемов </w:t>
      </w:r>
      <w:r>
        <w:rPr>
          <w:rFonts w:ascii="Times New Roman" w:hAnsi="Times New Roman"/>
          <w:sz w:val="24"/>
          <w:szCs w:val="24"/>
          <w:lang w:val="ru-RU"/>
        </w:rPr>
        <w:t>выльется</w:t>
      </w:r>
      <w:r w:rsidRPr="004D4384">
        <w:rPr>
          <w:rFonts w:ascii="Times New Roman" w:hAnsi="Times New Roman"/>
          <w:sz w:val="24"/>
          <w:szCs w:val="24"/>
          <w:lang w:val="ru-RU"/>
        </w:rPr>
        <w:t xml:space="preserve">  в миллиарды Евро в год</w:t>
      </w:r>
      <w:r>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С другой же стороны, у России имеется огромный потенциал целенаправленного сокращения парниковых выбросов, который и в Киотский, и в </w:t>
      </w:r>
      <w:proofErr w:type="spellStart"/>
      <w:proofErr w:type="gramStart"/>
      <w:r>
        <w:rPr>
          <w:rFonts w:ascii="Times New Roman" w:hAnsi="Times New Roman"/>
          <w:sz w:val="24"/>
          <w:szCs w:val="24"/>
          <w:lang w:val="ru-RU"/>
        </w:rPr>
        <w:t>пост-Киотский</w:t>
      </w:r>
      <w:proofErr w:type="spellEnd"/>
      <w:proofErr w:type="gramEnd"/>
      <w:r>
        <w:rPr>
          <w:rFonts w:ascii="Times New Roman" w:hAnsi="Times New Roman"/>
          <w:sz w:val="24"/>
          <w:szCs w:val="24"/>
          <w:lang w:val="ru-RU"/>
        </w:rPr>
        <w:t xml:space="preserve"> период позволяет занять доминирующее положение на новом, стремительно растущем рынке.</w:t>
      </w:r>
    </w:p>
    <w:p w:rsidR="007D6401" w:rsidRPr="00944FBF"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По данным Международного энергетического агентства,  в 2007 г. углеродоемкость ВНП России  составляла 3.91 кг CO2-эквивалента на доллар США. Для сравнения, тот же показатель для КНР составлял  2,3, для Японии 0,24, для Евросоюза 0,4, для США 0,5. </w:t>
      </w:r>
      <w:r w:rsidRPr="004D4384">
        <w:rPr>
          <w:rFonts w:ascii="Times New Roman" w:hAnsi="Times New Roman"/>
          <w:sz w:val="24"/>
          <w:szCs w:val="24"/>
          <w:lang w:val="ru-RU"/>
        </w:rPr>
        <w:lastRenderedPageBreak/>
        <w:t>При этом по парниковым выбросам на душу населения Россия занимает лишь четвертое  место после США, Австралии и Канады. При всех поправках на климатические и географические условия, затраты на отопление и транспорт это наглядное свидетельство крайне неэффективного использования топливных ресурсов и энергии</w:t>
      </w:r>
      <w:r>
        <w:rPr>
          <w:rFonts w:ascii="Times New Roman" w:hAnsi="Times New Roman"/>
          <w:sz w:val="24"/>
          <w:szCs w:val="24"/>
          <w:lang w:val="ru-RU"/>
        </w:rPr>
        <w:t xml:space="preserve">. </w:t>
      </w:r>
    </w:p>
    <w:p w:rsidR="007D6401" w:rsidRPr="004D4384"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Здесь Россия похожа на чудаковатого арабского шейха, который сидит на месторождениях нефти, но, в отличие от других шейхов, не желает их разрабатывать и поставлять товар на рынок вообще, или потому что уверен – обманут, или не верит в ценность нефти, или «из принципа»</w:t>
      </w:r>
      <w:r w:rsidRPr="004D4384">
        <w:rPr>
          <w:rFonts w:ascii="Times New Roman" w:hAnsi="Times New Roman"/>
          <w:sz w:val="24"/>
          <w:szCs w:val="24"/>
          <w:lang w:val="ru-RU"/>
        </w:rPr>
        <w:t>.</w:t>
      </w:r>
    </w:p>
    <w:p w:rsidR="007D6401" w:rsidRPr="004D4384" w:rsidRDefault="007D6401" w:rsidP="007D6401">
      <w:pPr>
        <w:spacing w:after="120"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Если говорить об «упущенной выгоде» по международным механизмам, то с</w:t>
      </w:r>
      <w:r w:rsidRPr="004D4384">
        <w:rPr>
          <w:rFonts w:ascii="Times New Roman" w:hAnsi="Times New Roman"/>
          <w:sz w:val="24"/>
          <w:szCs w:val="24"/>
          <w:lang w:val="ru-RU"/>
        </w:rPr>
        <w:t>уммарная оценка ущерба для экономики России в перспективе до 2020 года при ожидаемом ужесточении международных требований по выбросам и неучастии РФ в глобальном соглашении по ограниче</w:t>
      </w:r>
      <w:r>
        <w:rPr>
          <w:rFonts w:ascii="Times New Roman" w:hAnsi="Times New Roman"/>
          <w:sz w:val="24"/>
          <w:szCs w:val="24"/>
          <w:lang w:val="ru-RU"/>
        </w:rPr>
        <w:t xml:space="preserve">нию парниковых выбросов в </w:t>
      </w:r>
      <w:proofErr w:type="spellStart"/>
      <w:r>
        <w:rPr>
          <w:rFonts w:ascii="Times New Roman" w:hAnsi="Times New Roman"/>
          <w:sz w:val="24"/>
          <w:szCs w:val="24"/>
          <w:lang w:val="ru-RU"/>
        </w:rPr>
        <w:t>пост-К</w:t>
      </w:r>
      <w:r w:rsidRPr="004D4384">
        <w:rPr>
          <w:rFonts w:ascii="Times New Roman" w:hAnsi="Times New Roman"/>
          <w:sz w:val="24"/>
          <w:szCs w:val="24"/>
          <w:lang w:val="ru-RU"/>
        </w:rPr>
        <w:t>иотский</w:t>
      </w:r>
      <w:proofErr w:type="spellEnd"/>
      <w:r w:rsidRPr="004D4384">
        <w:rPr>
          <w:rFonts w:ascii="Times New Roman" w:hAnsi="Times New Roman"/>
          <w:sz w:val="24"/>
          <w:szCs w:val="24"/>
          <w:lang w:val="ru-RU"/>
        </w:rPr>
        <w:t xml:space="preserve"> период</w:t>
      </w:r>
      <w:r>
        <w:rPr>
          <w:rFonts w:ascii="Times New Roman" w:hAnsi="Times New Roman"/>
          <w:sz w:val="24"/>
          <w:szCs w:val="24"/>
          <w:lang w:val="ru-RU"/>
        </w:rPr>
        <w:t>, по данным</w:t>
      </w:r>
      <w:r w:rsidRPr="009A3C8F">
        <w:rPr>
          <w:lang w:val="ru-RU"/>
        </w:rPr>
        <w:t xml:space="preserve"> </w:t>
      </w:r>
      <w:hyperlink r:id="rId8" w:history="1">
        <w:r w:rsidRPr="009A3C8F">
          <w:rPr>
            <w:rFonts w:ascii="Times New Roman" w:hAnsi="Times New Roman"/>
            <w:sz w:val="24"/>
            <w:szCs w:val="24"/>
            <w:lang w:val="ru-RU"/>
          </w:rPr>
          <w:t>Центр</w:t>
        </w:r>
        <w:r w:rsidRPr="000D19A3">
          <w:rPr>
            <w:rFonts w:ascii="Times New Roman" w:hAnsi="Times New Roman"/>
            <w:sz w:val="24"/>
            <w:szCs w:val="24"/>
            <w:lang w:val="ru-RU"/>
          </w:rPr>
          <w:t>а</w:t>
        </w:r>
        <w:r w:rsidRPr="009A3C8F">
          <w:rPr>
            <w:rFonts w:ascii="Times New Roman" w:hAnsi="Times New Roman"/>
            <w:sz w:val="24"/>
            <w:szCs w:val="24"/>
            <w:lang w:val="ru-RU"/>
          </w:rPr>
          <w:t xml:space="preserve"> экономики окружающей среды и природных ресурсов</w:t>
        </w:r>
      </w:hyperlink>
      <w:r w:rsidRPr="009A3C8F">
        <w:rPr>
          <w:rFonts w:ascii="Times New Roman" w:hAnsi="Times New Roman"/>
          <w:sz w:val="24"/>
          <w:szCs w:val="24"/>
          <w:lang w:val="ru-RU"/>
        </w:rPr>
        <w:t xml:space="preserve"> Высшей школы экономики</w:t>
      </w:r>
      <w:r>
        <w:rPr>
          <w:rFonts w:ascii="Times New Roman" w:hAnsi="Times New Roman"/>
          <w:sz w:val="24"/>
          <w:szCs w:val="24"/>
          <w:lang w:val="ru-RU"/>
        </w:rPr>
        <w:t>, следующая:</w:t>
      </w:r>
      <w:proofErr w:type="gramEnd"/>
    </w:p>
    <w:p w:rsidR="007D6401" w:rsidRPr="004D4384" w:rsidRDefault="007D6401" w:rsidP="007D6401">
      <w:pPr>
        <w:numPr>
          <w:ilvl w:val="0"/>
          <w:numId w:val="15"/>
        </w:numPr>
        <w:spacing w:after="120" w:line="240" w:lineRule="auto"/>
        <w:jc w:val="both"/>
        <w:rPr>
          <w:rFonts w:ascii="Times New Roman" w:hAnsi="Times New Roman"/>
          <w:sz w:val="24"/>
          <w:szCs w:val="24"/>
          <w:lang w:val="ru-RU"/>
        </w:rPr>
      </w:pPr>
      <w:r w:rsidRPr="004D4384">
        <w:rPr>
          <w:rFonts w:ascii="Times New Roman" w:hAnsi="Times New Roman"/>
          <w:sz w:val="24"/>
          <w:szCs w:val="24"/>
          <w:lang w:val="ru-RU"/>
        </w:rPr>
        <w:t>потеря свыше 12 млрд. тонн СО</w:t>
      </w:r>
      <w:r w:rsidRPr="004D4384">
        <w:rPr>
          <w:rFonts w:ascii="Times New Roman" w:hAnsi="Times New Roman"/>
          <w:sz w:val="24"/>
          <w:szCs w:val="24"/>
          <w:vertAlign w:val="subscript"/>
          <w:lang w:val="ru-RU"/>
        </w:rPr>
        <w:t>2</w:t>
      </w:r>
      <w:r w:rsidRPr="004D4384">
        <w:rPr>
          <w:rFonts w:ascii="Times New Roman" w:hAnsi="Times New Roman"/>
          <w:sz w:val="24"/>
          <w:szCs w:val="24"/>
          <w:lang w:val="ru-RU"/>
        </w:rPr>
        <w:t>-экв. - сэкономленных в период 2008-2020 гг. углеродных квот (более 200 млрд. евро при текущей и ожидаемой цене) в год</w:t>
      </w:r>
      <w:r>
        <w:rPr>
          <w:rStyle w:val="ad"/>
          <w:rFonts w:ascii="Times New Roman" w:hAnsi="Times New Roman"/>
          <w:sz w:val="24"/>
          <w:szCs w:val="24"/>
          <w:lang w:val="ru-RU"/>
        </w:rPr>
        <w:footnoteReference w:id="11"/>
      </w:r>
      <w:r w:rsidRPr="004D4384">
        <w:rPr>
          <w:rFonts w:ascii="Times New Roman" w:hAnsi="Times New Roman"/>
          <w:sz w:val="24"/>
          <w:szCs w:val="24"/>
          <w:lang w:val="ru-RU"/>
        </w:rPr>
        <w:t xml:space="preserve">; </w:t>
      </w:r>
    </w:p>
    <w:p w:rsidR="007D6401" w:rsidRPr="004D4384" w:rsidRDefault="007D6401" w:rsidP="007D6401">
      <w:pPr>
        <w:numPr>
          <w:ilvl w:val="0"/>
          <w:numId w:val="15"/>
        </w:numPr>
        <w:spacing w:after="120" w:line="240" w:lineRule="auto"/>
        <w:jc w:val="both"/>
        <w:rPr>
          <w:rFonts w:ascii="Times New Roman" w:hAnsi="Times New Roman"/>
          <w:sz w:val="24"/>
          <w:szCs w:val="24"/>
          <w:lang w:val="ru-RU"/>
        </w:rPr>
      </w:pPr>
      <w:r w:rsidRPr="004D4384">
        <w:rPr>
          <w:rFonts w:ascii="Times New Roman" w:hAnsi="Times New Roman"/>
          <w:sz w:val="24"/>
          <w:szCs w:val="24"/>
          <w:lang w:val="ru-RU"/>
        </w:rPr>
        <w:t>потеря 2,5-3% ВВП/год</w:t>
      </w:r>
      <w:r>
        <w:rPr>
          <w:rStyle w:val="ad"/>
          <w:rFonts w:ascii="Times New Roman" w:hAnsi="Times New Roman"/>
          <w:sz w:val="24"/>
          <w:szCs w:val="24"/>
          <w:lang w:val="ru-RU"/>
        </w:rPr>
        <w:footnoteReference w:id="12"/>
      </w:r>
    </w:p>
    <w:p w:rsidR="007D6401" w:rsidRPr="004D4384" w:rsidRDefault="007D6401" w:rsidP="007D6401">
      <w:pPr>
        <w:numPr>
          <w:ilvl w:val="0"/>
          <w:numId w:val="15"/>
        </w:numPr>
        <w:spacing w:after="120" w:line="240" w:lineRule="auto"/>
        <w:jc w:val="both"/>
        <w:rPr>
          <w:rFonts w:ascii="Times New Roman" w:hAnsi="Times New Roman"/>
          <w:i/>
          <w:sz w:val="24"/>
          <w:szCs w:val="24"/>
          <w:lang w:val="ru-RU"/>
        </w:rPr>
      </w:pPr>
      <w:r w:rsidRPr="004D4384">
        <w:rPr>
          <w:rFonts w:ascii="Times New Roman" w:hAnsi="Times New Roman"/>
          <w:sz w:val="24"/>
          <w:szCs w:val="24"/>
          <w:lang w:val="ru-RU"/>
        </w:rPr>
        <w:t>потеря более 1 млн. рабочих мест</w:t>
      </w:r>
      <w:r>
        <w:rPr>
          <w:rStyle w:val="ad"/>
          <w:rFonts w:ascii="Times New Roman" w:hAnsi="Times New Roman"/>
          <w:sz w:val="24"/>
          <w:szCs w:val="24"/>
          <w:lang w:val="ru-RU"/>
        </w:rPr>
        <w:footnoteReference w:id="13"/>
      </w:r>
    </w:p>
    <w:p w:rsidR="007D6401" w:rsidRPr="000B2EC7"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Таким образом, при отсутствии</w:t>
      </w:r>
      <w:r>
        <w:rPr>
          <w:rFonts w:ascii="Times New Roman" w:hAnsi="Times New Roman"/>
          <w:sz w:val="24"/>
          <w:szCs w:val="24"/>
          <w:lang w:val="ru-RU"/>
        </w:rPr>
        <w:t xml:space="preserve"> национальной системы контроля парниковых выбросов и количественных</w:t>
      </w:r>
      <w:r w:rsidRPr="004D4384">
        <w:rPr>
          <w:rFonts w:ascii="Times New Roman" w:hAnsi="Times New Roman"/>
          <w:sz w:val="24"/>
          <w:szCs w:val="24"/>
          <w:lang w:val="ru-RU"/>
        </w:rPr>
        <w:t xml:space="preserve"> обязательств по ограничению выбросов парниковых газов Россия лишится потенциально доминирующей роли на глобальном «углеродном» рынке, которая предопределена ее возможностями для энергосбережения, повышени</w:t>
      </w:r>
      <w:r>
        <w:rPr>
          <w:rFonts w:ascii="Times New Roman" w:hAnsi="Times New Roman"/>
          <w:sz w:val="24"/>
          <w:szCs w:val="24"/>
          <w:lang w:val="ru-RU"/>
        </w:rPr>
        <w:t>я энергоэффективности экономики</w:t>
      </w:r>
      <w:r w:rsidRPr="000B2EC7">
        <w:rPr>
          <w:rFonts w:ascii="Times New Roman" w:hAnsi="Times New Roman"/>
          <w:sz w:val="24"/>
          <w:szCs w:val="24"/>
          <w:lang w:val="ru-RU"/>
        </w:rPr>
        <w:t>.</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Кроме того, следствием отказа от контроля выбросов парниковых газов станут</w:t>
      </w:r>
    </w:p>
    <w:p w:rsidR="007D6401" w:rsidRPr="004D4384" w:rsidRDefault="007D6401" w:rsidP="007D6401">
      <w:pPr>
        <w:numPr>
          <w:ilvl w:val="0"/>
          <w:numId w:val="16"/>
        </w:numPr>
        <w:spacing w:after="120" w:line="240" w:lineRule="auto"/>
        <w:jc w:val="both"/>
        <w:rPr>
          <w:rFonts w:ascii="Times New Roman" w:hAnsi="Times New Roman"/>
          <w:sz w:val="24"/>
          <w:szCs w:val="24"/>
          <w:lang w:val="ru-RU"/>
        </w:rPr>
      </w:pPr>
      <w:r w:rsidRPr="004D4384">
        <w:rPr>
          <w:rFonts w:ascii="Times New Roman" w:hAnsi="Times New Roman"/>
          <w:sz w:val="24"/>
          <w:szCs w:val="24"/>
          <w:lang w:val="ru-RU"/>
        </w:rPr>
        <w:t>потеря конкурентных преимуществ на отраслевых рынках (ави</w:t>
      </w:r>
      <w:proofErr w:type="gramStart"/>
      <w:r w:rsidRPr="004D4384">
        <w:rPr>
          <w:rFonts w:ascii="Times New Roman" w:hAnsi="Times New Roman"/>
          <w:sz w:val="24"/>
          <w:szCs w:val="24"/>
          <w:lang w:val="ru-RU"/>
        </w:rPr>
        <w:t>а-</w:t>
      </w:r>
      <w:proofErr w:type="gramEnd"/>
      <w:r w:rsidRPr="004D4384">
        <w:rPr>
          <w:rFonts w:ascii="Times New Roman" w:hAnsi="Times New Roman"/>
          <w:sz w:val="24"/>
          <w:szCs w:val="24"/>
          <w:lang w:val="ru-RU"/>
        </w:rPr>
        <w:t xml:space="preserve"> и морские перевозки, металлургия, цементная промышленность, электроэнергетика, ЦБК и др.);</w:t>
      </w:r>
    </w:p>
    <w:p w:rsidR="007D6401" w:rsidRPr="004D4384" w:rsidRDefault="007D6401" w:rsidP="007D6401">
      <w:pPr>
        <w:numPr>
          <w:ilvl w:val="0"/>
          <w:numId w:val="16"/>
        </w:numPr>
        <w:spacing w:after="120" w:line="240" w:lineRule="auto"/>
        <w:jc w:val="both"/>
        <w:rPr>
          <w:rFonts w:ascii="Times New Roman" w:hAnsi="Times New Roman"/>
          <w:sz w:val="24"/>
          <w:szCs w:val="24"/>
          <w:lang w:val="ru-RU"/>
        </w:rPr>
      </w:pPr>
      <w:r w:rsidRPr="004D4384">
        <w:rPr>
          <w:rFonts w:ascii="Times New Roman" w:hAnsi="Times New Roman"/>
          <w:sz w:val="24"/>
          <w:szCs w:val="24"/>
          <w:lang w:val="ru-RU"/>
        </w:rPr>
        <w:t xml:space="preserve">отставание в развитии и внедрении </w:t>
      </w:r>
      <w:proofErr w:type="spellStart"/>
      <w:r w:rsidRPr="004D4384">
        <w:rPr>
          <w:rFonts w:ascii="Times New Roman" w:hAnsi="Times New Roman"/>
          <w:sz w:val="24"/>
          <w:szCs w:val="24"/>
          <w:lang w:val="ru-RU"/>
        </w:rPr>
        <w:t>низкоуглеродных</w:t>
      </w:r>
      <w:proofErr w:type="spellEnd"/>
      <w:r w:rsidRPr="004D4384">
        <w:rPr>
          <w:rFonts w:ascii="Times New Roman" w:hAnsi="Times New Roman"/>
          <w:sz w:val="24"/>
          <w:szCs w:val="24"/>
          <w:lang w:val="ru-RU"/>
        </w:rPr>
        <w:t xml:space="preserve"> технологий и, как следствие, невозможность занятия ниши на перспективных рынках </w:t>
      </w:r>
      <w:proofErr w:type="spellStart"/>
      <w:r w:rsidRPr="004D4384">
        <w:rPr>
          <w:rFonts w:ascii="Times New Roman" w:hAnsi="Times New Roman"/>
          <w:sz w:val="24"/>
          <w:szCs w:val="24"/>
          <w:lang w:val="ru-RU"/>
        </w:rPr>
        <w:t>энергоэффективных</w:t>
      </w:r>
      <w:proofErr w:type="spellEnd"/>
      <w:r w:rsidRPr="004D4384">
        <w:rPr>
          <w:rFonts w:ascii="Times New Roman" w:hAnsi="Times New Roman"/>
          <w:sz w:val="24"/>
          <w:szCs w:val="24"/>
          <w:lang w:val="ru-RU"/>
        </w:rPr>
        <w:t>, энергосберегающих технологий, технологий использования возобновляемых источников энергии.</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Ближайшая перспектива развития общего евразийского экономического пространства (</w:t>
      </w:r>
      <w:proofErr w:type="spellStart"/>
      <w:r w:rsidRPr="004D4384">
        <w:rPr>
          <w:rFonts w:ascii="Times New Roman" w:hAnsi="Times New Roman"/>
          <w:sz w:val="24"/>
          <w:szCs w:val="24"/>
          <w:lang w:val="ru-RU"/>
        </w:rPr>
        <w:t>ЕЭП</w:t>
      </w:r>
      <w:proofErr w:type="spellEnd"/>
      <w:r w:rsidRPr="004D4384">
        <w:rPr>
          <w:rFonts w:ascii="Times New Roman" w:hAnsi="Times New Roman"/>
          <w:sz w:val="24"/>
          <w:szCs w:val="24"/>
          <w:lang w:val="ru-RU"/>
        </w:rPr>
        <w:t xml:space="preserve">), межгосударственная интеграция, введение единых стандартов и требований к товарам и услугам, унифицированных с европейскими требованиями в русле концепции «Большой Европы», немыслима без согласованного подхода к механизмам контроля парниковых выбросов как квинтэссенции  климатической политики. Среди крупнейших потенциальных партнеров по формированию </w:t>
      </w:r>
      <w:proofErr w:type="spellStart"/>
      <w:r w:rsidRPr="004D4384">
        <w:rPr>
          <w:rFonts w:ascii="Times New Roman" w:hAnsi="Times New Roman"/>
          <w:sz w:val="24"/>
          <w:szCs w:val="24"/>
          <w:lang w:val="ru-RU"/>
        </w:rPr>
        <w:t>ЕЭП</w:t>
      </w:r>
      <w:proofErr w:type="spellEnd"/>
      <w:r w:rsidRPr="004D4384">
        <w:rPr>
          <w:rFonts w:ascii="Times New Roman" w:hAnsi="Times New Roman"/>
          <w:sz w:val="24"/>
          <w:szCs w:val="24"/>
          <w:lang w:val="ru-RU"/>
        </w:rPr>
        <w:t xml:space="preserve"> Россия на настоящий момент является единственной страной, которая еще не приступила к практическим действиям по развитию национальных </w:t>
      </w:r>
      <w:proofErr w:type="gramStart"/>
      <w:r w:rsidRPr="004D4384">
        <w:rPr>
          <w:rFonts w:ascii="Times New Roman" w:hAnsi="Times New Roman"/>
          <w:sz w:val="24"/>
          <w:szCs w:val="24"/>
          <w:lang w:val="ru-RU"/>
        </w:rPr>
        <w:t>экономических механизмов</w:t>
      </w:r>
      <w:proofErr w:type="gramEnd"/>
      <w:r w:rsidRPr="004D4384">
        <w:rPr>
          <w:rFonts w:ascii="Times New Roman" w:hAnsi="Times New Roman"/>
          <w:sz w:val="24"/>
          <w:szCs w:val="24"/>
          <w:lang w:val="ru-RU"/>
        </w:rPr>
        <w:t xml:space="preserve"> «парникового» регулирования. </w:t>
      </w:r>
    </w:p>
    <w:p w:rsidR="007D6401" w:rsidRPr="004D4384" w:rsidRDefault="007D6401" w:rsidP="007D6401">
      <w:pPr>
        <w:spacing w:after="120"/>
        <w:ind w:firstLine="709"/>
        <w:jc w:val="both"/>
        <w:rPr>
          <w:rFonts w:ascii="Times New Roman" w:hAnsi="Times New Roman"/>
          <w:sz w:val="24"/>
          <w:szCs w:val="24"/>
          <w:lang w:val="ru-RU"/>
        </w:rPr>
      </w:pPr>
      <w:r w:rsidRPr="004D4384">
        <w:rPr>
          <w:rFonts w:ascii="Times New Roman" w:hAnsi="Times New Roman"/>
          <w:sz w:val="24"/>
          <w:szCs w:val="24"/>
          <w:lang w:val="ru-RU"/>
        </w:rPr>
        <w:t xml:space="preserve">«Углеродный», «парниковый»  фактор во внешнеэкономической политике, «парниковый» протекционизм важный компонент «зеленого» протекционизма в целом. Наглядным примером растущего влияния такого протекционизма может служить дискуссия относительно </w:t>
      </w:r>
      <w:r>
        <w:rPr>
          <w:rFonts w:ascii="Times New Roman" w:hAnsi="Times New Roman"/>
          <w:sz w:val="24"/>
          <w:szCs w:val="24"/>
          <w:lang w:val="ru-RU"/>
        </w:rPr>
        <w:t xml:space="preserve">текста заявления лидеров </w:t>
      </w:r>
      <w:proofErr w:type="spellStart"/>
      <w:r w:rsidRPr="004D4384">
        <w:rPr>
          <w:rFonts w:ascii="Times New Roman" w:hAnsi="Times New Roman"/>
          <w:sz w:val="24"/>
          <w:szCs w:val="24"/>
          <w:lang w:val="ru-RU"/>
        </w:rPr>
        <w:t>АТЭС</w:t>
      </w:r>
      <w:proofErr w:type="spellEnd"/>
      <w:r w:rsidRPr="004D4384">
        <w:rPr>
          <w:rFonts w:ascii="Times New Roman" w:hAnsi="Times New Roman"/>
          <w:sz w:val="24"/>
          <w:szCs w:val="24"/>
          <w:lang w:val="ru-RU"/>
        </w:rPr>
        <w:t xml:space="preserve"> по вопросу </w:t>
      </w:r>
      <w:r>
        <w:rPr>
          <w:rFonts w:ascii="Times New Roman" w:hAnsi="Times New Roman"/>
          <w:sz w:val="24"/>
          <w:szCs w:val="24"/>
          <w:lang w:val="ru-RU"/>
        </w:rPr>
        <w:t xml:space="preserve">об </w:t>
      </w:r>
      <w:r w:rsidRPr="004D4384">
        <w:rPr>
          <w:rFonts w:ascii="Times New Roman" w:hAnsi="Times New Roman"/>
          <w:sz w:val="24"/>
          <w:szCs w:val="24"/>
          <w:lang w:val="ru-RU"/>
        </w:rPr>
        <w:t>экологических товар</w:t>
      </w:r>
      <w:r>
        <w:rPr>
          <w:rFonts w:ascii="Times New Roman" w:hAnsi="Times New Roman"/>
          <w:sz w:val="24"/>
          <w:szCs w:val="24"/>
          <w:lang w:val="ru-RU"/>
        </w:rPr>
        <w:t>ах</w:t>
      </w:r>
      <w:r w:rsidRPr="004D4384">
        <w:rPr>
          <w:rFonts w:ascii="Times New Roman" w:hAnsi="Times New Roman"/>
          <w:sz w:val="24"/>
          <w:szCs w:val="24"/>
          <w:lang w:val="ru-RU"/>
        </w:rPr>
        <w:t xml:space="preserve"> и услуг</w:t>
      </w:r>
      <w:r>
        <w:rPr>
          <w:rFonts w:ascii="Times New Roman" w:hAnsi="Times New Roman"/>
          <w:sz w:val="24"/>
          <w:szCs w:val="24"/>
          <w:lang w:val="ru-RU"/>
        </w:rPr>
        <w:t>ах</w:t>
      </w:r>
      <w:r w:rsidRPr="004D4384">
        <w:rPr>
          <w:rFonts w:ascii="Times New Roman" w:hAnsi="Times New Roman"/>
          <w:sz w:val="24"/>
          <w:szCs w:val="24"/>
          <w:lang w:val="ru-RU"/>
        </w:rPr>
        <w:t xml:space="preserve">. Согласованный текст заявления </w:t>
      </w:r>
      <w:r>
        <w:rPr>
          <w:rFonts w:ascii="Times New Roman" w:hAnsi="Times New Roman"/>
          <w:sz w:val="24"/>
          <w:szCs w:val="24"/>
          <w:lang w:val="ru-RU"/>
        </w:rPr>
        <w:t>обсуждался</w:t>
      </w:r>
      <w:r w:rsidRPr="004D4384">
        <w:rPr>
          <w:rFonts w:ascii="Times New Roman" w:hAnsi="Times New Roman"/>
          <w:sz w:val="24"/>
          <w:szCs w:val="24"/>
          <w:lang w:val="ru-RU"/>
        </w:rPr>
        <w:t xml:space="preserve"> на встрече Министров иностранных дел и торговли </w:t>
      </w:r>
      <w:proofErr w:type="spellStart"/>
      <w:r w:rsidRPr="004D4384">
        <w:rPr>
          <w:rFonts w:ascii="Times New Roman" w:hAnsi="Times New Roman"/>
          <w:sz w:val="24"/>
          <w:szCs w:val="24"/>
          <w:lang w:val="ru-RU"/>
        </w:rPr>
        <w:t>АТЭС</w:t>
      </w:r>
      <w:proofErr w:type="spellEnd"/>
      <w:r w:rsidRPr="004D4384">
        <w:rPr>
          <w:rFonts w:ascii="Times New Roman" w:hAnsi="Times New Roman"/>
          <w:sz w:val="24"/>
          <w:szCs w:val="24"/>
          <w:lang w:val="ru-RU"/>
        </w:rPr>
        <w:t xml:space="preserve"> (США, Гонолулу, 11 ноября 2011 г.).</w:t>
      </w:r>
    </w:p>
    <w:p w:rsidR="007D6401" w:rsidRDefault="007D6401" w:rsidP="007D6401">
      <w:pPr>
        <w:spacing w:after="120"/>
        <w:ind w:firstLine="709"/>
        <w:jc w:val="both"/>
        <w:rPr>
          <w:rFonts w:ascii="Times New Roman" w:hAnsi="Times New Roman"/>
          <w:sz w:val="24"/>
          <w:szCs w:val="24"/>
          <w:lang w:val="ru-RU"/>
        </w:rPr>
      </w:pPr>
      <w:r w:rsidRPr="004D4384">
        <w:rPr>
          <w:rFonts w:ascii="Times New Roman" w:hAnsi="Times New Roman"/>
          <w:sz w:val="24"/>
          <w:szCs w:val="24"/>
          <w:lang w:val="ru-RU"/>
        </w:rPr>
        <w:t xml:space="preserve">В </w:t>
      </w:r>
      <w:r>
        <w:rPr>
          <w:rFonts w:ascii="Times New Roman" w:hAnsi="Times New Roman"/>
          <w:sz w:val="24"/>
          <w:szCs w:val="24"/>
          <w:lang w:val="ru-RU"/>
        </w:rPr>
        <w:t>результате по предложению США и Японии в Приложение</w:t>
      </w:r>
      <w:proofErr w:type="gramStart"/>
      <w:r>
        <w:rPr>
          <w:rFonts w:ascii="Times New Roman" w:hAnsi="Times New Roman"/>
          <w:sz w:val="24"/>
          <w:szCs w:val="24"/>
          <w:lang w:val="ru-RU"/>
        </w:rPr>
        <w:t xml:space="preserve"> С</w:t>
      </w:r>
      <w:proofErr w:type="gramEnd"/>
      <w:r>
        <w:rPr>
          <w:rFonts w:ascii="Times New Roman" w:hAnsi="Times New Roman"/>
          <w:sz w:val="24"/>
          <w:szCs w:val="24"/>
          <w:lang w:val="ru-RU"/>
        </w:rPr>
        <w:t xml:space="preserve"> к Итоговой декларации лидеров «Торговля и инвестиции в экологические товары и услуги» включены положения о том, что: </w:t>
      </w:r>
    </w:p>
    <w:p w:rsidR="007D6401" w:rsidRDefault="007D6401" w:rsidP="007D6401">
      <w:pPr>
        <w:numPr>
          <w:ilvl w:val="0"/>
          <w:numId w:val="20"/>
        </w:numPr>
        <w:spacing w:after="120"/>
        <w:jc w:val="both"/>
        <w:rPr>
          <w:rFonts w:ascii="Times New Roman" w:hAnsi="Times New Roman"/>
          <w:sz w:val="24"/>
          <w:szCs w:val="24"/>
          <w:lang w:val="ru-RU"/>
        </w:rPr>
      </w:pPr>
      <w:r>
        <w:rPr>
          <w:rFonts w:ascii="Times New Roman" w:hAnsi="Times New Roman"/>
          <w:sz w:val="24"/>
          <w:szCs w:val="24"/>
          <w:lang w:val="ru-RU"/>
        </w:rPr>
        <w:t>в 2012 году будет разработан перечень экологических товаров, которые вносят прямой и позитивный вклад в «зеленое» развитие, достижение целей устойчивого развития, для которых к концу 2015 года будет применять пошлина в пределах 5%...</w:t>
      </w:r>
    </w:p>
    <w:p w:rsidR="007D6401" w:rsidRDefault="007D6401" w:rsidP="007D6401">
      <w:pPr>
        <w:numPr>
          <w:ilvl w:val="0"/>
          <w:numId w:val="20"/>
        </w:numPr>
        <w:spacing w:after="120"/>
        <w:jc w:val="both"/>
        <w:rPr>
          <w:rFonts w:ascii="Times New Roman" w:hAnsi="Times New Roman"/>
          <w:sz w:val="24"/>
          <w:szCs w:val="24"/>
          <w:lang w:val="ru-RU"/>
        </w:rPr>
      </w:pPr>
      <w:r>
        <w:rPr>
          <w:rFonts w:ascii="Times New Roman" w:hAnsi="Times New Roman"/>
          <w:sz w:val="24"/>
          <w:szCs w:val="24"/>
          <w:lang w:val="ru-RU"/>
        </w:rPr>
        <w:t xml:space="preserve">до конца 2012 г. будут исключены существующие местные требования, нарушающие торговлю экологическими товарами и услугами в регионе. </w:t>
      </w:r>
    </w:p>
    <w:p w:rsidR="007D6401" w:rsidRDefault="007D6401" w:rsidP="007D6401">
      <w:pPr>
        <w:spacing w:after="120" w:line="240" w:lineRule="auto"/>
        <w:ind w:firstLine="567"/>
        <w:jc w:val="both"/>
        <w:rPr>
          <w:rFonts w:ascii="Times New Roman" w:hAnsi="Times New Roman"/>
          <w:sz w:val="24"/>
          <w:szCs w:val="24"/>
          <w:u w:val="single"/>
          <w:lang w:val="ru-RU"/>
        </w:rPr>
      </w:pPr>
      <w:r w:rsidRPr="00093044">
        <w:rPr>
          <w:rFonts w:ascii="Times New Roman" w:hAnsi="Times New Roman"/>
          <w:sz w:val="24"/>
          <w:szCs w:val="24"/>
          <w:u w:val="single"/>
          <w:lang w:val="ru-RU"/>
        </w:rPr>
        <w:t>Политические и экономические риски, связанные с регулированием парниковых выбросов, для России сводят, по сути, к одному риску – к риску отказа России от конкретного и целенаправленного внутреннего и международного регулирования</w:t>
      </w:r>
      <w:r>
        <w:rPr>
          <w:rFonts w:ascii="Times New Roman" w:hAnsi="Times New Roman"/>
          <w:sz w:val="24"/>
          <w:szCs w:val="24"/>
          <w:u w:val="single"/>
          <w:lang w:val="ru-RU"/>
        </w:rPr>
        <w:t xml:space="preserve"> парниковых выбросов</w:t>
      </w:r>
      <w:r w:rsidRPr="00093044">
        <w:rPr>
          <w:rFonts w:ascii="Times New Roman" w:hAnsi="Times New Roman"/>
          <w:sz w:val="24"/>
          <w:szCs w:val="24"/>
          <w:u w:val="single"/>
          <w:lang w:val="ru-RU"/>
        </w:rPr>
        <w:t>, что повлечет многообразные и, возможно, тяжелые социально-экономические последствия.</w:t>
      </w:r>
    </w:p>
    <w:p w:rsidR="007D6401" w:rsidRPr="002B7A8D"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Ниже будут несколько подробней рассмотрены внешнеэкономический, внешнеторговый аспект «парникового» регулирования. Они содержат как весьма существенный риск того, что </w:t>
      </w:r>
      <w:proofErr w:type="spellStart"/>
      <w:r>
        <w:rPr>
          <w:rFonts w:ascii="Times New Roman" w:hAnsi="Times New Roman"/>
          <w:sz w:val="24"/>
          <w:szCs w:val="24"/>
          <w:lang w:val="ru-RU"/>
        </w:rPr>
        <w:t>углеродоемкий</w:t>
      </w:r>
      <w:proofErr w:type="spellEnd"/>
      <w:r>
        <w:rPr>
          <w:rFonts w:ascii="Times New Roman" w:hAnsi="Times New Roman"/>
          <w:sz w:val="24"/>
          <w:szCs w:val="24"/>
          <w:lang w:val="ru-RU"/>
        </w:rPr>
        <w:t xml:space="preserve"> экспорт будет подвергаться тарифному и нетарифному давлению, так и перспективные возможности, связанные с включением цены углерода во внешнеторговые операции.</w:t>
      </w:r>
    </w:p>
    <w:p w:rsidR="007D6401" w:rsidRPr="00093044" w:rsidRDefault="007D6401" w:rsidP="007D6401">
      <w:pPr>
        <w:spacing w:after="120" w:line="240" w:lineRule="auto"/>
        <w:ind w:firstLine="567"/>
        <w:jc w:val="both"/>
        <w:rPr>
          <w:rFonts w:ascii="Times New Roman" w:hAnsi="Times New Roman"/>
          <w:sz w:val="24"/>
          <w:szCs w:val="24"/>
          <w:u w:val="single"/>
          <w:lang w:val="ru-RU"/>
        </w:rPr>
      </w:pPr>
    </w:p>
    <w:p w:rsidR="007D6401" w:rsidRDefault="007D6401" w:rsidP="007D6401">
      <w:pPr>
        <w:pStyle w:val="2"/>
        <w:rPr>
          <w:rFonts w:ascii="Times New Roman" w:hAnsi="Times New Roman"/>
          <w:color w:val="auto"/>
          <w:lang w:val="ru-RU"/>
        </w:rPr>
      </w:pPr>
      <w:r w:rsidRPr="000A5002">
        <w:rPr>
          <w:rFonts w:ascii="Times New Roman" w:hAnsi="Times New Roman"/>
          <w:color w:val="auto"/>
          <w:lang w:val="ru-RU"/>
        </w:rPr>
        <w:t>Инструменты воздействия на конкурентоспособность производителей</w:t>
      </w:r>
    </w:p>
    <w:p w:rsidR="007D6401" w:rsidRDefault="007D6401" w:rsidP="007D6401">
      <w:pPr>
        <w:rPr>
          <w:lang w:val="ru-RU"/>
        </w:rPr>
      </w:pPr>
    </w:p>
    <w:p w:rsidR="007D6401" w:rsidRDefault="007D6401" w:rsidP="007D6401">
      <w:pPr>
        <w:spacing w:after="120" w:line="240" w:lineRule="auto"/>
        <w:ind w:firstLine="567"/>
        <w:jc w:val="both"/>
        <w:rPr>
          <w:rFonts w:ascii="Times New Roman" w:hAnsi="Times New Roman"/>
          <w:sz w:val="24"/>
          <w:szCs w:val="24"/>
          <w:lang w:val="ru-RU"/>
        </w:rPr>
      </w:pPr>
      <w:r w:rsidRPr="00E3084C">
        <w:rPr>
          <w:rFonts w:ascii="Times New Roman" w:hAnsi="Times New Roman"/>
          <w:sz w:val="24"/>
          <w:szCs w:val="24"/>
          <w:lang w:val="ru-RU"/>
        </w:rPr>
        <w:t>Регулирование</w:t>
      </w:r>
      <w:r>
        <w:rPr>
          <w:rFonts w:ascii="Times New Roman" w:hAnsi="Times New Roman"/>
          <w:sz w:val="24"/>
          <w:szCs w:val="24"/>
          <w:lang w:val="ru-RU"/>
        </w:rPr>
        <w:t xml:space="preserve"> парниковых выбросов в одних странах и отсутствие такого регулирования в других ставит предприятия и товары в неравное конкурентное положение, ведет к так называемой «парниковой миграции» производств, а, вслед за этим, заставляет правительства искать способы защитить свои рынки, конкурентоспособность своих предприятий и продукции. А это будет оказывать растущее воздействие и на российские предприятия и их товары.</w:t>
      </w:r>
    </w:p>
    <w:p w:rsidR="007D6401" w:rsidRPr="00E3084C" w:rsidRDefault="007D6401" w:rsidP="007D6401">
      <w:pPr>
        <w:spacing w:after="120" w:line="240" w:lineRule="auto"/>
        <w:ind w:firstLine="567"/>
        <w:jc w:val="both"/>
        <w:rPr>
          <w:rFonts w:ascii="Times New Roman" w:hAnsi="Times New Roman"/>
          <w:sz w:val="24"/>
          <w:szCs w:val="24"/>
          <w:lang w:val="ru-RU"/>
        </w:rPr>
      </w:pPr>
    </w:p>
    <w:p w:rsidR="007D6401" w:rsidRPr="000A5002"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lastRenderedPageBreak/>
        <w:t>Квотирование выбросов парниковых газов</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Прямое квотирование парниковых выбросов для предприятий электроэнергетики, </w:t>
      </w:r>
      <w:proofErr w:type="spellStart"/>
      <w:r w:rsidRPr="004D4384">
        <w:rPr>
          <w:rFonts w:ascii="Times New Roman" w:hAnsi="Times New Roman"/>
          <w:sz w:val="24"/>
          <w:szCs w:val="24"/>
          <w:lang w:val="ru-RU"/>
        </w:rPr>
        <w:t>НПЗ</w:t>
      </w:r>
      <w:proofErr w:type="spellEnd"/>
      <w:r w:rsidRPr="004D4384">
        <w:rPr>
          <w:rFonts w:ascii="Times New Roman" w:hAnsi="Times New Roman"/>
          <w:sz w:val="24"/>
          <w:szCs w:val="24"/>
          <w:lang w:val="ru-RU"/>
        </w:rPr>
        <w:t>, цветной и черной металлургии, цементной промышленности и других отраслей является главным инструментом регулирования в странах Европейского Союза.</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Более 50% обязательств ЕС по Киотскому протоколу распределено между компаниями, а в перспективе показатель распределения международных обязательств ЕС между субъектами хозяйственной деятельности превысит 80%.</w:t>
      </w:r>
    </w:p>
    <w:p w:rsidR="007D6401" w:rsidRPr="004D4384"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Это почти не затрагивает интересы компаний, действующих вне Евросоюза. Тем не менее, растущие требования европейского рынка парниковых эмиссий (Европейской системы торговли), ужесточение нормативных требований к участникам этого рынка</w:t>
      </w:r>
      <w:r w:rsidRPr="004D4384">
        <w:rPr>
          <w:rFonts w:ascii="Times New Roman" w:hAnsi="Times New Roman"/>
          <w:sz w:val="24"/>
          <w:szCs w:val="24"/>
          <w:lang w:val="ru-RU"/>
        </w:rPr>
        <w:t xml:space="preserve"> окажет влияние на активы российск</w:t>
      </w:r>
      <w:r>
        <w:rPr>
          <w:rFonts w:ascii="Times New Roman" w:hAnsi="Times New Roman"/>
          <w:sz w:val="24"/>
          <w:szCs w:val="24"/>
          <w:lang w:val="ru-RU"/>
        </w:rPr>
        <w:t>их компаний в странах-членах ЕС</w:t>
      </w:r>
      <w:r w:rsidRPr="004D4384">
        <w:rPr>
          <w:rFonts w:ascii="Times New Roman" w:hAnsi="Times New Roman"/>
          <w:sz w:val="24"/>
          <w:szCs w:val="24"/>
          <w:lang w:val="ru-RU"/>
        </w:rPr>
        <w:t xml:space="preserve">.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Кроме того, директивы ЕС требуют квотировать выбросы международного</w:t>
      </w:r>
      <w:r>
        <w:rPr>
          <w:rFonts w:ascii="Times New Roman" w:hAnsi="Times New Roman"/>
          <w:sz w:val="24"/>
          <w:szCs w:val="24"/>
          <w:lang w:val="ru-RU"/>
        </w:rPr>
        <w:t xml:space="preserve"> </w:t>
      </w:r>
      <w:r w:rsidRPr="004D4384">
        <w:rPr>
          <w:rFonts w:ascii="Times New Roman" w:hAnsi="Times New Roman"/>
          <w:sz w:val="24"/>
          <w:szCs w:val="24"/>
          <w:lang w:val="ru-RU"/>
        </w:rPr>
        <w:t xml:space="preserve">авиатранспорта </w:t>
      </w:r>
      <w:r>
        <w:rPr>
          <w:rFonts w:ascii="Times New Roman" w:hAnsi="Times New Roman"/>
          <w:sz w:val="24"/>
          <w:szCs w:val="24"/>
          <w:lang w:val="ru-RU"/>
        </w:rPr>
        <w:t xml:space="preserve">(а в ближайшей перспективе и </w:t>
      </w:r>
      <w:r w:rsidRPr="004D4384">
        <w:rPr>
          <w:rFonts w:ascii="Times New Roman" w:hAnsi="Times New Roman"/>
          <w:sz w:val="24"/>
          <w:szCs w:val="24"/>
          <w:lang w:val="ru-RU"/>
        </w:rPr>
        <w:t>морские перевозки</w:t>
      </w:r>
      <w:r>
        <w:rPr>
          <w:rFonts w:ascii="Times New Roman" w:hAnsi="Times New Roman"/>
          <w:sz w:val="24"/>
          <w:szCs w:val="24"/>
          <w:lang w:val="ru-RU"/>
        </w:rPr>
        <w:t>)</w:t>
      </w:r>
      <w:r w:rsidRPr="004D4384">
        <w:rPr>
          <w:rFonts w:ascii="Times New Roman" w:hAnsi="Times New Roman"/>
          <w:sz w:val="24"/>
          <w:szCs w:val="24"/>
          <w:lang w:val="ru-RU"/>
        </w:rPr>
        <w:t xml:space="preserve"> для всех компаний (в том числе российских), осуществляющих транспортировку через территорию стран - членов ЕС. Данные требования вводятся уже с 2012 год</w:t>
      </w:r>
      <w:r>
        <w:rPr>
          <w:rFonts w:ascii="Times New Roman" w:hAnsi="Times New Roman"/>
          <w:sz w:val="24"/>
          <w:szCs w:val="24"/>
          <w:lang w:val="ru-RU"/>
        </w:rPr>
        <w:t>а</w:t>
      </w:r>
      <w:r w:rsidRPr="004D4384">
        <w:rPr>
          <w:rFonts w:ascii="Times New Roman" w:hAnsi="Times New Roman"/>
          <w:sz w:val="24"/>
          <w:szCs w:val="24"/>
          <w:lang w:val="ru-RU"/>
        </w:rPr>
        <w:t xml:space="preserve"> (</w:t>
      </w:r>
      <w:proofErr w:type="gramStart"/>
      <w:r w:rsidRPr="004D4384">
        <w:rPr>
          <w:rFonts w:ascii="Times New Roman" w:hAnsi="Times New Roman"/>
          <w:sz w:val="24"/>
          <w:szCs w:val="24"/>
          <w:lang w:val="ru-RU"/>
        </w:rPr>
        <w:t>см</w:t>
      </w:r>
      <w:proofErr w:type="gramEnd"/>
      <w:r w:rsidRPr="004D4384">
        <w:rPr>
          <w:rFonts w:ascii="Times New Roman" w:hAnsi="Times New Roman"/>
          <w:sz w:val="24"/>
          <w:szCs w:val="24"/>
          <w:lang w:val="ru-RU"/>
        </w:rPr>
        <w:t>. ниже).</w:t>
      </w:r>
    </w:p>
    <w:p w:rsidR="007D6401" w:rsidRPr="004D4384" w:rsidRDefault="007D6401" w:rsidP="007D6401">
      <w:pPr>
        <w:spacing w:after="120" w:line="240" w:lineRule="auto"/>
        <w:rPr>
          <w:rFonts w:ascii="Times New Roman" w:hAnsi="Times New Roman"/>
          <w:sz w:val="24"/>
          <w:szCs w:val="24"/>
          <w:lang w:val="ru-RU"/>
        </w:rPr>
      </w:pPr>
    </w:p>
    <w:p w:rsidR="007D6401" w:rsidRPr="000A5002"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t xml:space="preserve">Введение международных стандартов по выбросам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С целью ужесточения требований к углеродоемкой продукции и технологиям ее производства разрабатываются международные стандарты </w:t>
      </w:r>
      <w:proofErr w:type="spellStart"/>
      <w:r w:rsidRPr="0077377A">
        <w:rPr>
          <w:rFonts w:ascii="Times New Roman" w:hAnsi="Times New Roman"/>
          <w:sz w:val="24"/>
          <w:szCs w:val="24"/>
          <w:lang w:val="ru-RU"/>
        </w:rPr>
        <w:t>ISO</w:t>
      </w:r>
      <w:proofErr w:type="spellEnd"/>
      <w:r w:rsidRPr="004D4384">
        <w:rPr>
          <w:rFonts w:ascii="Times New Roman" w:hAnsi="Times New Roman"/>
          <w:sz w:val="24"/>
          <w:szCs w:val="24"/>
          <w:lang w:val="ru-RU"/>
        </w:rPr>
        <w:t>. В качестве примеров можно привести следующие стандарты:</w:t>
      </w:r>
    </w:p>
    <w:p w:rsidR="007D6401" w:rsidRPr="004D4384" w:rsidRDefault="007D6401" w:rsidP="007D6401">
      <w:pPr>
        <w:numPr>
          <w:ilvl w:val="0"/>
          <w:numId w:val="9"/>
        </w:numPr>
        <w:spacing w:after="120" w:line="240" w:lineRule="auto"/>
        <w:jc w:val="both"/>
        <w:rPr>
          <w:rFonts w:ascii="Times New Roman" w:hAnsi="Times New Roman"/>
          <w:sz w:val="24"/>
          <w:szCs w:val="24"/>
          <w:lang w:val="ru-RU"/>
        </w:rPr>
      </w:pPr>
      <w:r w:rsidRPr="004D4384">
        <w:rPr>
          <w:rFonts w:ascii="Times New Roman" w:hAnsi="Times New Roman"/>
          <w:sz w:val="24"/>
          <w:szCs w:val="24"/>
          <w:lang w:val="ru-RU"/>
        </w:rPr>
        <w:t xml:space="preserve">Стандарты по эмиссиям парниковых газов серии </w:t>
      </w:r>
      <w:proofErr w:type="spellStart"/>
      <w:r w:rsidRPr="004D4384">
        <w:rPr>
          <w:rFonts w:ascii="Times New Roman" w:hAnsi="Times New Roman"/>
          <w:sz w:val="24"/>
          <w:szCs w:val="24"/>
          <w:lang w:val="ru-RU"/>
        </w:rPr>
        <w:t>ISO</w:t>
      </w:r>
      <w:proofErr w:type="spellEnd"/>
      <w:r w:rsidRPr="004D4384">
        <w:rPr>
          <w:rFonts w:ascii="Times New Roman" w:hAnsi="Times New Roman"/>
          <w:sz w:val="24"/>
          <w:szCs w:val="24"/>
          <w:lang w:val="ru-RU"/>
        </w:rPr>
        <w:t xml:space="preserve"> 14000, разрабатываемые группой </w:t>
      </w:r>
      <w:hyperlink r:id="rId9" w:history="1">
        <w:proofErr w:type="spellStart"/>
        <w:r w:rsidRPr="004D4384">
          <w:rPr>
            <w:rFonts w:ascii="Times New Roman" w:hAnsi="Times New Roman"/>
            <w:sz w:val="24"/>
            <w:szCs w:val="24"/>
            <w:lang w:val="ru-RU"/>
          </w:rPr>
          <w:t>TC</w:t>
        </w:r>
        <w:proofErr w:type="spellEnd"/>
        <w:r w:rsidRPr="004D4384">
          <w:rPr>
            <w:rFonts w:ascii="Times New Roman" w:hAnsi="Times New Roman"/>
            <w:sz w:val="24"/>
            <w:szCs w:val="24"/>
            <w:lang w:val="ru-RU"/>
          </w:rPr>
          <w:t xml:space="preserve"> 207/</w:t>
        </w:r>
        <w:proofErr w:type="spellStart"/>
        <w:r w:rsidRPr="004D4384">
          <w:rPr>
            <w:rFonts w:ascii="Times New Roman" w:hAnsi="Times New Roman"/>
            <w:sz w:val="24"/>
            <w:szCs w:val="24"/>
            <w:lang w:val="ru-RU"/>
          </w:rPr>
          <w:t>SC</w:t>
        </w:r>
        <w:proofErr w:type="spellEnd"/>
        <w:r w:rsidRPr="004D4384">
          <w:rPr>
            <w:rFonts w:ascii="Times New Roman" w:hAnsi="Times New Roman"/>
            <w:sz w:val="24"/>
            <w:szCs w:val="24"/>
            <w:lang w:val="ru-RU"/>
          </w:rPr>
          <w:t xml:space="preserve"> 7 </w:t>
        </w:r>
      </w:hyperlink>
      <w:r w:rsidRPr="004D4384">
        <w:rPr>
          <w:rFonts w:ascii="Times New Roman" w:hAnsi="Times New Roman"/>
          <w:sz w:val="24"/>
          <w:szCs w:val="24"/>
          <w:lang w:val="ru-RU"/>
        </w:rPr>
        <w:t>«Менеджмент парниковых газов и соответствующая деятельность»</w:t>
      </w:r>
      <w:r w:rsidRPr="004D4384">
        <w:rPr>
          <w:rStyle w:val="ad"/>
          <w:rFonts w:ascii="Times New Roman" w:hAnsi="Times New Roman"/>
          <w:sz w:val="24"/>
          <w:szCs w:val="24"/>
          <w:lang w:val="ru-RU"/>
        </w:rPr>
        <w:footnoteReference w:id="14"/>
      </w:r>
      <w:r w:rsidRPr="004D4384">
        <w:rPr>
          <w:rFonts w:ascii="Times New Roman" w:hAnsi="Times New Roman"/>
          <w:sz w:val="24"/>
          <w:szCs w:val="24"/>
          <w:lang w:val="ru-RU"/>
        </w:rPr>
        <w:t>. В настоящее время на разных стадиях рассмотрения и принятия находятся следующие стандарты:</w:t>
      </w:r>
    </w:p>
    <w:p w:rsidR="007D6401" w:rsidRPr="004D4384" w:rsidRDefault="007D6401" w:rsidP="007D6401">
      <w:pPr>
        <w:numPr>
          <w:ilvl w:val="1"/>
          <w:numId w:val="9"/>
        </w:numPr>
        <w:spacing w:after="120" w:line="240" w:lineRule="auto"/>
        <w:jc w:val="both"/>
        <w:rPr>
          <w:rFonts w:ascii="Times New Roman" w:hAnsi="Times New Roman"/>
          <w:sz w:val="24"/>
          <w:szCs w:val="24"/>
          <w:lang w:val="ru-RU"/>
        </w:rPr>
      </w:pPr>
      <w:proofErr w:type="spellStart"/>
      <w:r w:rsidRPr="004D4384">
        <w:rPr>
          <w:rFonts w:ascii="Times New Roman" w:hAnsi="Times New Roman"/>
          <w:sz w:val="24"/>
          <w:szCs w:val="24"/>
          <w:lang w:val="ru-RU"/>
        </w:rPr>
        <w:t>ISO</w:t>
      </w:r>
      <w:proofErr w:type="spellEnd"/>
      <w:r w:rsidRPr="004D4384">
        <w:rPr>
          <w:rFonts w:ascii="Times New Roman" w:hAnsi="Times New Roman"/>
          <w:sz w:val="24"/>
          <w:szCs w:val="24"/>
          <w:lang w:val="ru-RU"/>
        </w:rPr>
        <w:t xml:space="preserve"> 14064-1:2006 </w:t>
      </w:r>
      <w:proofErr w:type="spellStart"/>
      <w:r w:rsidRPr="004D4384">
        <w:rPr>
          <w:rFonts w:ascii="Times New Roman" w:hAnsi="Times New Roman"/>
          <w:sz w:val="24"/>
          <w:szCs w:val="24"/>
          <w:lang w:val="ru-RU"/>
        </w:rPr>
        <w:t>ПГ</w:t>
      </w:r>
      <w:proofErr w:type="spellEnd"/>
      <w:r w:rsidRPr="004D4384">
        <w:rPr>
          <w:rFonts w:ascii="Times New Roman" w:hAnsi="Times New Roman"/>
          <w:sz w:val="24"/>
          <w:szCs w:val="24"/>
          <w:lang w:val="ru-RU"/>
        </w:rPr>
        <w:t>. Часть 1. Технические требования и руководство для организаций по определению количества и отчетности об эмиссии парниковых газов и их удалении (стадия 90.93 - Подтверждение действия международного стандарта)</w:t>
      </w:r>
    </w:p>
    <w:p w:rsidR="007D6401" w:rsidRPr="004D4384" w:rsidRDefault="007D6401" w:rsidP="007D6401">
      <w:pPr>
        <w:numPr>
          <w:ilvl w:val="1"/>
          <w:numId w:val="9"/>
        </w:numPr>
        <w:spacing w:after="120" w:line="240" w:lineRule="auto"/>
        <w:jc w:val="both"/>
        <w:rPr>
          <w:rFonts w:ascii="Times New Roman" w:hAnsi="Times New Roman"/>
          <w:sz w:val="24"/>
          <w:szCs w:val="24"/>
          <w:lang w:val="ru-RU"/>
        </w:rPr>
      </w:pPr>
      <w:proofErr w:type="spellStart"/>
      <w:r w:rsidRPr="004D4384">
        <w:rPr>
          <w:rFonts w:ascii="Times New Roman" w:hAnsi="Times New Roman"/>
          <w:sz w:val="24"/>
          <w:szCs w:val="24"/>
          <w:lang w:val="ru-RU"/>
        </w:rPr>
        <w:t>ISO</w:t>
      </w:r>
      <w:proofErr w:type="spellEnd"/>
      <w:r w:rsidRPr="004D4384">
        <w:rPr>
          <w:rFonts w:ascii="Times New Roman" w:hAnsi="Times New Roman"/>
          <w:sz w:val="24"/>
          <w:szCs w:val="24"/>
          <w:lang w:val="ru-RU"/>
        </w:rPr>
        <w:t xml:space="preserve"> 14064-2:2006 </w:t>
      </w:r>
      <w:proofErr w:type="spellStart"/>
      <w:r w:rsidRPr="004D4384">
        <w:rPr>
          <w:rFonts w:ascii="Times New Roman" w:hAnsi="Times New Roman"/>
          <w:sz w:val="24"/>
          <w:szCs w:val="24"/>
          <w:lang w:val="ru-RU"/>
        </w:rPr>
        <w:t>ПГ</w:t>
      </w:r>
      <w:proofErr w:type="spellEnd"/>
      <w:r w:rsidRPr="004D4384">
        <w:rPr>
          <w:rFonts w:ascii="Times New Roman" w:hAnsi="Times New Roman"/>
          <w:sz w:val="24"/>
          <w:szCs w:val="24"/>
          <w:lang w:val="ru-RU"/>
        </w:rPr>
        <w:t>. Часть 2. Технические требования и руководство для проектировщиков по определению количества, мониторингу и отчетности о сокращении эмиссии парниковых газов и удалении превышенного количества (стадия 90.93).</w:t>
      </w:r>
    </w:p>
    <w:p w:rsidR="007D6401" w:rsidRPr="004D4384" w:rsidRDefault="007D6401" w:rsidP="007D6401">
      <w:pPr>
        <w:numPr>
          <w:ilvl w:val="1"/>
          <w:numId w:val="9"/>
        </w:numPr>
        <w:spacing w:after="120" w:line="240" w:lineRule="auto"/>
        <w:jc w:val="both"/>
        <w:rPr>
          <w:rFonts w:ascii="Times New Roman" w:hAnsi="Times New Roman"/>
          <w:sz w:val="24"/>
          <w:szCs w:val="24"/>
          <w:lang w:val="ru-RU"/>
        </w:rPr>
      </w:pPr>
      <w:proofErr w:type="spellStart"/>
      <w:r w:rsidRPr="004D4384">
        <w:rPr>
          <w:rFonts w:ascii="Times New Roman" w:hAnsi="Times New Roman"/>
          <w:sz w:val="24"/>
          <w:szCs w:val="24"/>
          <w:lang w:val="ru-RU"/>
        </w:rPr>
        <w:t>ISO</w:t>
      </w:r>
      <w:proofErr w:type="spellEnd"/>
      <w:r w:rsidRPr="004D4384">
        <w:rPr>
          <w:rFonts w:ascii="Times New Roman" w:hAnsi="Times New Roman"/>
          <w:sz w:val="24"/>
          <w:szCs w:val="24"/>
          <w:lang w:val="ru-RU"/>
        </w:rPr>
        <w:t xml:space="preserve"> 14064-3:2006 </w:t>
      </w:r>
      <w:proofErr w:type="spellStart"/>
      <w:r w:rsidRPr="004D4384">
        <w:rPr>
          <w:rFonts w:ascii="Times New Roman" w:hAnsi="Times New Roman"/>
          <w:sz w:val="24"/>
          <w:szCs w:val="24"/>
          <w:lang w:val="ru-RU"/>
        </w:rPr>
        <w:t>ПГ</w:t>
      </w:r>
      <w:proofErr w:type="spellEnd"/>
      <w:r w:rsidRPr="004D4384">
        <w:rPr>
          <w:rFonts w:ascii="Times New Roman" w:hAnsi="Times New Roman"/>
          <w:sz w:val="24"/>
          <w:szCs w:val="24"/>
          <w:lang w:val="ru-RU"/>
        </w:rPr>
        <w:t xml:space="preserve">. Часть 3. Технические требования и руководство по </w:t>
      </w:r>
      <w:proofErr w:type="spellStart"/>
      <w:r w:rsidRPr="004D4384">
        <w:rPr>
          <w:rFonts w:ascii="Times New Roman" w:hAnsi="Times New Roman"/>
          <w:sz w:val="24"/>
          <w:szCs w:val="24"/>
          <w:lang w:val="ru-RU"/>
        </w:rPr>
        <w:t>валидации</w:t>
      </w:r>
      <w:proofErr w:type="spellEnd"/>
      <w:r w:rsidRPr="004D4384">
        <w:rPr>
          <w:rFonts w:ascii="Times New Roman" w:hAnsi="Times New Roman"/>
          <w:sz w:val="24"/>
          <w:szCs w:val="24"/>
          <w:lang w:val="ru-RU"/>
        </w:rPr>
        <w:t xml:space="preserve"> и верификации утверждений относительно парниковых газов (стадия 90.93).</w:t>
      </w:r>
    </w:p>
    <w:p w:rsidR="007D6401" w:rsidRPr="004D4384" w:rsidRDefault="007D6401" w:rsidP="007D6401">
      <w:pPr>
        <w:numPr>
          <w:ilvl w:val="1"/>
          <w:numId w:val="9"/>
        </w:numPr>
        <w:spacing w:after="120" w:line="240" w:lineRule="auto"/>
        <w:jc w:val="both"/>
        <w:rPr>
          <w:rFonts w:ascii="Times New Roman" w:hAnsi="Times New Roman"/>
          <w:sz w:val="24"/>
          <w:szCs w:val="24"/>
          <w:lang w:val="ru-RU"/>
        </w:rPr>
      </w:pPr>
      <w:proofErr w:type="spellStart"/>
      <w:r w:rsidRPr="004D4384">
        <w:rPr>
          <w:rFonts w:ascii="Times New Roman" w:hAnsi="Times New Roman"/>
          <w:sz w:val="24"/>
          <w:szCs w:val="24"/>
          <w:lang w:val="ru-RU"/>
        </w:rPr>
        <w:t>ISO</w:t>
      </w:r>
      <w:proofErr w:type="spellEnd"/>
      <w:r w:rsidRPr="004D4384">
        <w:rPr>
          <w:rFonts w:ascii="Times New Roman" w:hAnsi="Times New Roman"/>
          <w:sz w:val="24"/>
          <w:szCs w:val="24"/>
          <w:lang w:val="ru-RU"/>
        </w:rPr>
        <w:t xml:space="preserve"> 14066:2011</w:t>
      </w:r>
      <w:hyperlink r:id="rId10" w:history="1">
        <w:r w:rsidRPr="004D4384">
          <w:rPr>
            <w:rFonts w:ascii="Times New Roman" w:hAnsi="Times New Roman"/>
            <w:sz w:val="24"/>
            <w:szCs w:val="24"/>
            <w:lang w:val="ru-RU"/>
          </w:rPr>
          <w:t> </w:t>
        </w:r>
      </w:hyperlink>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ПГ</w:t>
      </w:r>
      <w:proofErr w:type="spellEnd"/>
      <w:r w:rsidRPr="004D4384">
        <w:rPr>
          <w:rFonts w:ascii="Times New Roman" w:hAnsi="Times New Roman"/>
          <w:sz w:val="24"/>
          <w:szCs w:val="24"/>
          <w:lang w:val="ru-RU"/>
        </w:rPr>
        <w:t xml:space="preserve">. Требования к органам по </w:t>
      </w:r>
      <w:proofErr w:type="spellStart"/>
      <w:r w:rsidRPr="004D4384">
        <w:rPr>
          <w:rFonts w:ascii="Times New Roman" w:hAnsi="Times New Roman"/>
          <w:sz w:val="24"/>
          <w:szCs w:val="24"/>
          <w:lang w:val="ru-RU"/>
        </w:rPr>
        <w:t>валидации</w:t>
      </w:r>
      <w:proofErr w:type="spellEnd"/>
      <w:r w:rsidRPr="004D4384">
        <w:rPr>
          <w:rFonts w:ascii="Times New Roman" w:hAnsi="Times New Roman"/>
          <w:sz w:val="24"/>
          <w:szCs w:val="24"/>
          <w:lang w:val="ru-RU"/>
        </w:rPr>
        <w:t xml:space="preserve"> и верификации парниковых газов (стадия 60.60 - Опубликование международного стандарта).</w:t>
      </w:r>
    </w:p>
    <w:p w:rsidR="007D6401" w:rsidRPr="004D4384" w:rsidRDefault="00A212EC" w:rsidP="007D6401">
      <w:pPr>
        <w:numPr>
          <w:ilvl w:val="1"/>
          <w:numId w:val="9"/>
        </w:numPr>
        <w:spacing w:after="120" w:line="240" w:lineRule="auto"/>
        <w:jc w:val="both"/>
        <w:rPr>
          <w:rFonts w:ascii="Times New Roman" w:hAnsi="Times New Roman"/>
          <w:sz w:val="24"/>
          <w:szCs w:val="24"/>
          <w:lang w:val="ru-RU"/>
        </w:rPr>
      </w:pPr>
      <w:hyperlink r:id="rId11" w:history="1">
        <w:proofErr w:type="spellStart"/>
        <w:r w:rsidR="007D6401" w:rsidRPr="004D4384">
          <w:rPr>
            <w:rFonts w:ascii="Times New Roman" w:hAnsi="Times New Roman"/>
            <w:sz w:val="24"/>
            <w:szCs w:val="24"/>
            <w:lang w:val="ru-RU"/>
          </w:rPr>
          <w:t>ISO</w:t>
        </w:r>
        <w:proofErr w:type="spellEnd"/>
        <w:r w:rsidR="007D6401" w:rsidRPr="004D4384">
          <w:rPr>
            <w:rFonts w:ascii="Times New Roman" w:hAnsi="Times New Roman"/>
            <w:sz w:val="24"/>
            <w:szCs w:val="24"/>
            <w:lang w:val="ru-RU"/>
          </w:rPr>
          <w:t>/</w:t>
        </w:r>
        <w:proofErr w:type="spellStart"/>
        <w:r w:rsidR="007D6401" w:rsidRPr="004D4384">
          <w:rPr>
            <w:rFonts w:ascii="Times New Roman" w:hAnsi="Times New Roman"/>
            <w:sz w:val="24"/>
            <w:szCs w:val="24"/>
            <w:lang w:val="ru-RU"/>
          </w:rPr>
          <w:t>CD</w:t>
        </w:r>
        <w:proofErr w:type="spellEnd"/>
        <w:r w:rsidR="007D6401" w:rsidRPr="004D4384">
          <w:rPr>
            <w:rFonts w:ascii="Times New Roman" w:hAnsi="Times New Roman"/>
            <w:sz w:val="24"/>
            <w:szCs w:val="24"/>
            <w:lang w:val="ru-RU"/>
          </w:rPr>
          <w:t xml:space="preserve"> 14067</w:t>
        </w:r>
      </w:hyperlink>
      <w:r w:rsidR="007D6401" w:rsidRPr="004D4384">
        <w:rPr>
          <w:rFonts w:ascii="Times New Roman" w:hAnsi="Times New Roman"/>
          <w:sz w:val="24"/>
          <w:szCs w:val="24"/>
          <w:lang w:val="ru-RU"/>
        </w:rPr>
        <w:t xml:space="preserve"> </w:t>
      </w:r>
      <w:proofErr w:type="spellStart"/>
      <w:r w:rsidR="007D6401" w:rsidRPr="004D4384">
        <w:rPr>
          <w:rFonts w:ascii="Times New Roman" w:hAnsi="Times New Roman"/>
          <w:sz w:val="24"/>
          <w:szCs w:val="24"/>
          <w:lang w:val="ru-RU"/>
        </w:rPr>
        <w:t>ПГ</w:t>
      </w:r>
      <w:proofErr w:type="spellEnd"/>
      <w:r w:rsidR="007D6401" w:rsidRPr="004D4384">
        <w:rPr>
          <w:rFonts w:ascii="Times New Roman" w:hAnsi="Times New Roman"/>
          <w:sz w:val="24"/>
          <w:szCs w:val="24"/>
          <w:lang w:val="ru-RU"/>
        </w:rPr>
        <w:t>. Углеродный след продукции – требования и руководства по количественной оценке и коммуникации (стадия 30.20 -Начало  изучения и голосования по проекту).</w:t>
      </w:r>
    </w:p>
    <w:p w:rsidR="007D6401" w:rsidRPr="004D4384" w:rsidRDefault="00A212EC" w:rsidP="007D6401">
      <w:pPr>
        <w:numPr>
          <w:ilvl w:val="1"/>
          <w:numId w:val="9"/>
        </w:numPr>
        <w:spacing w:after="120" w:line="240" w:lineRule="auto"/>
        <w:jc w:val="both"/>
        <w:rPr>
          <w:rFonts w:ascii="Times New Roman" w:hAnsi="Times New Roman"/>
          <w:sz w:val="24"/>
          <w:szCs w:val="24"/>
          <w:lang w:val="ru-RU"/>
        </w:rPr>
      </w:pPr>
      <w:hyperlink r:id="rId12" w:history="1">
        <w:proofErr w:type="spellStart"/>
        <w:r w:rsidR="007D6401" w:rsidRPr="004D4384">
          <w:rPr>
            <w:rFonts w:ascii="Times New Roman" w:hAnsi="Times New Roman"/>
            <w:sz w:val="24"/>
            <w:szCs w:val="24"/>
            <w:lang w:val="ru-RU"/>
          </w:rPr>
          <w:t>ISO</w:t>
        </w:r>
        <w:proofErr w:type="spellEnd"/>
        <w:r w:rsidR="007D6401" w:rsidRPr="004D4384">
          <w:rPr>
            <w:rFonts w:ascii="Times New Roman" w:hAnsi="Times New Roman"/>
            <w:sz w:val="24"/>
            <w:szCs w:val="24"/>
            <w:lang w:val="ru-RU"/>
          </w:rPr>
          <w:t>/</w:t>
        </w:r>
        <w:proofErr w:type="spellStart"/>
        <w:r w:rsidR="007D6401" w:rsidRPr="004D4384">
          <w:rPr>
            <w:rFonts w:ascii="Times New Roman" w:hAnsi="Times New Roman"/>
            <w:sz w:val="24"/>
            <w:szCs w:val="24"/>
            <w:lang w:val="ru-RU"/>
          </w:rPr>
          <w:t>WD</w:t>
        </w:r>
        <w:proofErr w:type="spellEnd"/>
        <w:r w:rsidR="007D6401" w:rsidRPr="004D4384">
          <w:rPr>
            <w:rFonts w:ascii="Times New Roman" w:hAnsi="Times New Roman"/>
            <w:sz w:val="24"/>
            <w:szCs w:val="24"/>
            <w:lang w:val="ru-RU"/>
          </w:rPr>
          <w:t xml:space="preserve"> </w:t>
        </w:r>
        <w:proofErr w:type="spellStart"/>
        <w:r w:rsidR="007D6401" w:rsidRPr="004D4384">
          <w:rPr>
            <w:rFonts w:ascii="Times New Roman" w:hAnsi="Times New Roman"/>
            <w:sz w:val="24"/>
            <w:szCs w:val="24"/>
            <w:lang w:val="ru-RU"/>
          </w:rPr>
          <w:t>TR</w:t>
        </w:r>
        <w:proofErr w:type="spellEnd"/>
        <w:r w:rsidR="007D6401" w:rsidRPr="004D4384">
          <w:rPr>
            <w:rFonts w:ascii="Times New Roman" w:hAnsi="Times New Roman"/>
            <w:sz w:val="24"/>
            <w:szCs w:val="24"/>
            <w:lang w:val="ru-RU"/>
          </w:rPr>
          <w:t xml:space="preserve"> 14069</w:t>
        </w:r>
      </w:hyperlink>
      <w:r w:rsidR="007D6401" w:rsidRPr="004D4384">
        <w:rPr>
          <w:rFonts w:ascii="Times New Roman" w:hAnsi="Times New Roman"/>
          <w:sz w:val="24"/>
          <w:szCs w:val="24"/>
          <w:lang w:val="ru-RU"/>
        </w:rPr>
        <w:t xml:space="preserve"> Парниковые газы – Количественная оценка и отчетность по выбросам парниковых газов для организаций – руководство по </w:t>
      </w:r>
      <w:r w:rsidR="007D6401" w:rsidRPr="004D4384">
        <w:rPr>
          <w:rFonts w:ascii="Times New Roman" w:hAnsi="Times New Roman"/>
          <w:sz w:val="24"/>
          <w:szCs w:val="24"/>
          <w:lang w:val="ru-RU"/>
        </w:rPr>
        <w:lastRenderedPageBreak/>
        <w:t xml:space="preserve">применению стандарта </w:t>
      </w:r>
      <w:proofErr w:type="spellStart"/>
      <w:r w:rsidR="007D6401" w:rsidRPr="004D4384">
        <w:rPr>
          <w:rFonts w:ascii="Times New Roman" w:hAnsi="Times New Roman"/>
          <w:sz w:val="24"/>
          <w:szCs w:val="24"/>
          <w:lang w:val="ru-RU"/>
        </w:rPr>
        <w:t>ISO</w:t>
      </w:r>
      <w:proofErr w:type="spellEnd"/>
      <w:r w:rsidR="007D6401" w:rsidRPr="004D4384">
        <w:rPr>
          <w:rFonts w:ascii="Times New Roman" w:hAnsi="Times New Roman"/>
          <w:sz w:val="24"/>
          <w:szCs w:val="24"/>
          <w:lang w:val="ru-RU"/>
        </w:rPr>
        <w:t xml:space="preserve"> 14064-1 комитета (20.20 - Начало изучения рабочего проекта</w:t>
      </w:r>
      <w:proofErr w:type="gramStart"/>
      <w:r w:rsidR="007D6401" w:rsidRPr="004D4384">
        <w:rPr>
          <w:rFonts w:ascii="Times New Roman" w:hAnsi="Times New Roman"/>
          <w:sz w:val="24"/>
          <w:szCs w:val="24"/>
          <w:lang w:val="ru-RU"/>
        </w:rPr>
        <w:t> )</w:t>
      </w:r>
      <w:proofErr w:type="gramEnd"/>
    </w:p>
    <w:p w:rsidR="007D6401" w:rsidRPr="004D4384" w:rsidRDefault="007D6401" w:rsidP="007D6401">
      <w:pPr>
        <w:numPr>
          <w:ilvl w:val="0"/>
          <w:numId w:val="9"/>
        </w:numPr>
        <w:spacing w:after="120" w:line="240" w:lineRule="auto"/>
        <w:jc w:val="both"/>
        <w:rPr>
          <w:rFonts w:ascii="Times New Roman" w:hAnsi="Times New Roman"/>
          <w:sz w:val="24"/>
          <w:szCs w:val="24"/>
          <w:lang w:val="ru-RU"/>
        </w:rPr>
      </w:pPr>
      <w:r w:rsidRPr="004D4384">
        <w:rPr>
          <w:rFonts w:ascii="Times New Roman" w:hAnsi="Times New Roman"/>
          <w:sz w:val="24"/>
          <w:szCs w:val="24"/>
          <w:lang w:val="ru-RU"/>
        </w:rPr>
        <w:t xml:space="preserve">Стандарт по энергоэффективности серии </w:t>
      </w:r>
      <w:proofErr w:type="spellStart"/>
      <w:r w:rsidRPr="004D4384">
        <w:rPr>
          <w:rFonts w:ascii="Times New Roman" w:hAnsi="Times New Roman"/>
          <w:sz w:val="24"/>
          <w:szCs w:val="24"/>
          <w:lang w:val="ru-RU"/>
        </w:rPr>
        <w:t>ISO</w:t>
      </w:r>
      <w:proofErr w:type="spellEnd"/>
      <w:r w:rsidRPr="004D4384">
        <w:rPr>
          <w:rFonts w:ascii="Times New Roman" w:hAnsi="Times New Roman"/>
          <w:sz w:val="24"/>
          <w:szCs w:val="24"/>
          <w:lang w:val="ru-RU"/>
        </w:rPr>
        <w:t xml:space="preserve"> 50001:2011 устанавливает принципы управления энергетикой на промышленных предприятиях, в коммерческих, учрежденческих и государственных зданиях и в организациях в целом. </w:t>
      </w:r>
      <w:proofErr w:type="gramStart"/>
      <w:r w:rsidRPr="004D4384">
        <w:rPr>
          <w:rFonts w:ascii="Times New Roman" w:hAnsi="Times New Roman"/>
          <w:sz w:val="24"/>
          <w:szCs w:val="24"/>
          <w:lang w:val="ru-RU"/>
        </w:rPr>
        <w:t>Предназначен</w:t>
      </w:r>
      <w:proofErr w:type="gramEnd"/>
      <w:r w:rsidRPr="004D4384">
        <w:rPr>
          <w:rFonts w:ascii="Times New Roman" w:hAnsi="Times New Roman"/>
          <w:sz w:val="24"/>
          <w:szCs w:val="24"/>
          <w:lang w:val="ru-RU"/>
        </w:rPr>
        <w:t xml:space="preserve"> для применения в различных секторах национальной экономики. По оценкам, стандарт может оказать воздействие на 60% потребляемой в мире энергии.</w:t>
      </w:r>
      <w:r w:rsidRPr="004D4384">
        <w:rPr>
          <w:rStyle w:val="ad"/>
          <w:rFonts w:ascii="Times New Roman" w:hAnsi="Times New Roman"/>
          <w:sz w:val="24"/>
          <w:szCs w:val="24"/>
          <w:lang w:val="ru-RU"/>
        </w:rPr>
        <w:footnoteReference w:id="15"/>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Российские производители в настоящее время не участвуют в подготовке к соответствию данным стандартам </w:t>
      </w:r>
      <w:r w:rsidRPr="004D4384">
        <w:rPr>
          <w:rFonts w:ascii="Times New Roman" w:hAnsi="Times New Roman"/>
          <w:sz w:val="24"/>
          <w:szCs w:val="24"/>
        </w:rPr>
        <w:t>ISO</w:t>
      </w:r>
      <w:r w:rsidRPr="004D4384">
        <w:rPr>
          <w:rFonts w:ascii="Times New Roman" w:hAnsi="Times New Roman"/>
          <w:sz w:val="24"/>
          <w:szCs w:val="24"/>
          <w:lang w:val="ru-RU"/>
        </w:rPr>
        <w:t>. Таким образом, в случае их введения, коммерческие риски для национальных компаний являются достаточно высокими.</w:t>
      </w:r>
    </w:p>
    <w:p w:rsidR="007D6401" w:rsidRDefault="007D6401" w:rsidP="007D6401">
      <w:pPr>
        <w:spacing w:after="120" w:line="240" w:lineRule="auto"/>
        <w:rPr>
          <w:rFonts w:ascii="Times New Roman" w:hAnsi="Times New Roman"/>
          <w:sz w:val="24"/>
          <w:szCs w:val="24"/>
          <w:lang w:val="ru-RU"/>
        </w:rPr>
      </w:pPr>
    </w:p>
    <w:p w:rsidR="007D6401" w:rsidRPr="000A5002"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t xml:space="preserve"> Маркировка продукции (СО2-</w:t>
      </w:r>
      <w:r>
        <w:rPr>
          <w:rFonts w:ascii="Times New Roman" w:hAnsi="Times New Roman"/>
          <w:b/>
          <w:i/>
          <w:sz w:val="24"/>
          <w:szCs w:val="24"/>
        </w:rPr>
        <w:t>labeling</w:t>
      </w:r>
      <w:r w:rsidRPr="000A5002">
        <w:rPr>
          <w:rFonts w:ascii="Times New Roman" w:hAnsi="Times New Roman"/>
          <w:b/>
          <w:i/>
          <w:sz w:val="24"/>
          <w:szCs w:val="24"/>
          <w:lang w:val="ru-RU"/>
        </w:rPr>
        <w:t>)</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Распространение получает и такой вид рыночного регулирования (на уровне потребителей), как маркировка продукции с учетом ее «углеродного следа» (</w:t>
      </w:r>
      <w:r w:rsidRPr="004D4384">
        <w:rPr>
          <w:rFonts w:ascii="Times New Roman" w:hAnsi="Times New Roman"/>
          <w:sz w:val="24"/>
          <w:szCs w:val="24"/>
        </w:rPr>
        <w:t>carbon</w:t>
      </w:r>
      <w:r w:rsidRPr="004D4384">
        <w:rPr>
          <w:rFonts w:ascii="Times New Roman" w:hAnsi="Times New Roman"/>
          <w:sz w:val="24"/>
          <w:szCs w:val="24"/>
          <w:lang w:val="ru-RU"/>
        </w:rPr>
        <w:t xml:space="preserve"> </w:t>
      </w:r>
      <w:r w:rsidRPr="004D4384">
        <w:rPr>
          <w:rFonts w:ascii="Times New Roman" w:hAnsi="Times New Roman"/>
          <w:sz w:val="24"/>
          <w:szCs w:val="24"/>
        </w:rPr>
        <w:t>footprint</w:t>
      </w:r>
      <w:r w:rsidRPr="004D4384">
        <w:rPr>
          <w:rFonts w:ascii="Times New Roman" w:hAnsi="Times New Roman"/>
          <w:sz w:val="24"/>
          <w:szCs w:val="24"/>
          <w:lang w:val="ru-RU"/>
        </w:rPr>
        <w:t>). Товары российских производителей, не имеющих жестких требований по эмиссиям парниковых газов, будут менее конкурентоспособны по этому показател</w:t>
      </w:r>
      <w:r>
        <w:rPr>
          <w:rFonts w:ascii="Times New Roman" w:hAnsi="Times New Roman"/>
          <w:sz w:val="24"/>
          <w:szCs w:val="24"/>
          <w:lang w:val="ru-RU"/>
        </w:rPr>
        <w:t>ю, по крайней мере, в глазах европейского покупателя</w:t>
      </w:r>
      <w:r w:rsidRPr="004D4384">
        <w:rPr>
          <w:rFonts w:ascii="Times New Roman" w:hAnsi="Times New Roman"/>
          <w:sz w:val="24"/>
          <w:szCs w:val="24"/>
          <w:lang w:val="ru-RU"/>
        </w:rPr>
        <w:t xml:space="preserve">. </w:t>
      </w:r>
    </w:p>
    <w:p w:rsidR="007D6401" w:rsidRPr="004D4384" w:rsidRDefault="007D6401" w:rsidP="007D6401">
      <w:pPr>
        <w:spacing w:after="120" w:line="240" w:lineRule="auto"/>
        <w:rPr>
          <w:rFonts w:ascii="Times New Roman" w:hAnsi="Times New Roman"/>
          <w:sz w:val="24"/>
          <w:szCs w:val="24"/>
          <w:lang w:val="ru-RU"/>
        </w:rPr>
      </w:pPr>
    </w:p>
    <w:p w:rsidR="007D6401" w:rsidRPr="000A5002"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t xml:space="preserve"> Имидж компаний</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Имидж компаний в отношении «климатической нейтральности» производства и продукции на международном рынке играет все более значимую роль. Фактически, это новый экологический фактор продвижения товаров/услуг и захвата рыночных ниш.</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В последние годы получил развитие специализированный рынок «единиц добровольного сокращения» выбросов (</w:t>
      </w:r>
      <w:proofErr w:type="spellStart"/>
      <w:r w:rsidRPr="004D4384">
        <w:rPr>
          <w:rFonts w:ascii="Times New Roman" w:hAnsi="Times New Roman"/>
          <w:sz w:val="24"/>
          <w:szCs w:val="24"/>
          <w:lang w:val="ru-RU"/>
        </w:rPr>
        <w:t>ЕДС</w:t>
      </w:r>
      <w:proofErr w:type="spellEnd"/>
      <w:r w:rsidRPr="004D4384">
        <w:rPr>
          <w:rFonts w:ascii="Times New Roman" w:hAnsi="Times New Roman"/>
          <w:sz w:val="24"/>
          <w:szCs w:val="24"/>
          <w:lang w:val="ru-RU"/>
        </w:rPr>
        <w:t xml:space="preserve">) углерода, оборот которого, по некоторым оценкам, уже превысил 100 млн. долл. США в год.  Как правило, покупателями </w:t>
      </w:r>
      <w:proofErr w:type="spellStart"/>
      <w:r w:rsidRPr="004D4384">
        <w:rPr>
          <w:rFonts w:ascii="Times New Roman" w:hAnsi="Times New Roman"/>
          <w:sz w:val="24"/>
          <w:szCs w:val="24"/>
          <w:lang w:val="ru-RU"/>
        </w:rPr>
        <w:t>ЕДС</w:t>
      </w:r>
      <w:proofErr w:type="spellEnd"/>
      <w:r w:rsidRPr="004D4384">
        <w:rPr>
          <w:rFonts w:ascii="Times New Roman" w:hAnsi="Times New Roman"/>
          <w:sz w:val="24"/>
          <w:szCs w:val="24"/>
          <w:lang w:val="ru-RU"/>
        </w:rPr>
        <w:t xml:space="preserve">  (инвесторами) являются крупные компании, которые приобретают их с целью продвижения своей продукции на рынке,  где существует серьезная конкуренция. </w:t>
      </w:r>
      <w:proofErr w:type="spellStart"/>
      <w:r>
        <w:rPr>
          <w:rFonts w:ascii="Times New Roman" w:hAnsi="Times New Roman"/>
          <w:sz w:val="24"/>
          <w:szCs w:val="24"/>
          <w:lang w:val="ru-RU"/>
        </w:rPr>
        <w:t>ЕДС</w:t>
      </w:r>
      <w:proofErr w:type="spellEnd"/>
      <w:r>
        <w:rPr>
          <w:rFonts w:ascii="Times New Roman" w:hAnsi="Times New Roman"/>
          <w:sz w:val="24"/>
          <w:szCs w:val="24"/>
          <w:lang w:val="ru-RU"/>
        </w:rPr>
        <w:t xml:space="preserve"> не имеют рыночной стоимости, на обязательных рынках, однако, п</w:t>
      </w:r>
      <w:r w:rsidRPr="004D4384">
        <w:rPr>
          <w:rFonts w:ascii="Times New Roman" w:hAnsi="Times New Roman"/>
          <w:sz w:val="24"/>
          <w:szCs w:val="24"/>
          <w:lang w:val="ru-RU"/>
        </w:rPr>
        <w:t>редставление своего продукта, как продукта с нулевым эффектом глобального потепления, может принести компании существенные конкурентные преимущества</w:t>
      </w:r>
      <w:r>
        <w:rPr>
          <w:rFonts w:ascii="Times New Roman" w:hAnsi="Times New Roman"/>
          <w:sz w:val="24"/>
          <w:szCs w:val="24"/>
          <w:lang w:val="ru-RU"/>
        </w:rPr>
        <w:t xml:space="preserve"> в глазах покупателя</w:t>
      </w:r>
      <w:r w:rsidRPr="004D4384">
        <w:rPr>
          <w:rFonts w:ascii="Times New Roman" w:hAnsi="Times New Roman"/>
          <w:sz w:val="24"/>
          <w:szCs w:val="24"/>
          <w:lang w:val="ru-RU"/>
        </w:rPr>
        <w:t>.</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На этом фоне российские производители, как правило, не могут конкурировать по показателю «климатической нейтральности».</w:t>
      </w:r>
    </w:p>
    <w:p w:rsidR="007D6401" w:rsidRPr="004D4384" w:rsidRDefault="007D6401" w:rsidP="007D6401">
      <w:pPr>
        <w:spacing w:after="120" w:line="240" w:lineRule="auto"/>
        <w:rPr>
          <w:rFonts w:ascii="Times New Roman" w:hAnsi="Times New Roman"/>
          <w:sz w:val="24"/>
          <w:szCs w:val="24"/>
          <w:lang w:val="ru-RU"/>
        </w:rPr>
      </w:pPr>
    </w:p>
    <w:p w:rsidR="007D6401"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t xml:space="preserve"> Пограничные меры регулирования</w:t>
      </w:r>
    </w:p>
    <w:p w:rsidR="007D6401" w:rsidRPr="00C45F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Оценивая перспективы, возможности и последствия введения «парникового» пограничного регулирования (импортных пошлин и экспортных льготных мер), страны </w:t>
      </w:r>
      <w:proofErr w:type="spellStart"/>
      <w:r w:rsidRPr="004D4384">
        <w:rPr>
          <w:rFonts w:ascii="Times New Roman" w:hAnsi="Times New Roman"/>
          <w:sz w:val="24"/>
          <w:szCs w:val="24"/>
          <w:lang w:val="ru-RU"/>
        </w:rPr>
        <w:t>ОЭСР</w:t>
      </w:r>
      <w:proofErr w:type="spellEnd"/>
      <w:r w:rsidRPr="004D4384">
        <w:rPr>
          <w:rFonts w:ascii="Times New Roman" w:hAnsi="Times New Roman"/>
          <w:sz w:val="24"/>
          <w:szCs w:val="24"/>
          <w:lang w:val="ru-RU"/>
        </w:rPr>
        <w:t xml:space="preserve"> преследуют вполне понятные и оправданные экономические интересы. </w:t>
      </w:r>
      <w:proofErr w:type="gramStart"/>
      <w:r w:rsidRPr="004D4384">
        <w:rPr>
          <w:rFonts w:ascii="Times New Roman" w:hAnsi="Times New Roman"/>
          <w:sz w:val="24"/>
          <w:szCs w:val="24"/>
          <w:lang w:val="ru-RU"/>
        </w:rPr>
        <w:t>Прежде всего, это предотвращение дальнейшей «парниковой» миграции производств из Европы в развивающиеся страны, изъятие части ренты пользования природными ресурсами, защита отечественных производителей, более справедливое распределение климатических обязательств.</w:t>
      </w:r>
      <w:proofErr w:type="gramEnd"/>
      <w:r w:rsidRPr="004D4384">
        <w:rPr>
          <w:rFonts w:ascii="Times New Roman" w:hAnsi="Times New Roman"/>
          <w:sz w:val="24"/>
          <w:szCs w:val="24"/>
          <w:lang w:val="ru-RU"/>
        </w:rPr>
        <w:t xml:space="preserve"> Кроме того, такие меры должны послужить рыночным сигналом, косвенным введением «цены на углерод» в странах, не вводящих экономическое регулирование </w:t>
      </w:r>
      <w:r w:rsidRPr="004D4384">
        <w:rPr>
          <w:rFonts w:ascii="Times New Roman" w:hAnsi="Times New Roman"/>
          <w:sz w:val="24"/>
          <w:szCs w:val="24"/>
          <w:lang w:val="ru-RU"/>
        </w:rPr>
        <w:lastRenderedPageBreak/>
        <w:t xml:space="preserve">парниковых выбросов, а также служить расширению рынка для  технологий энергосбережения, снижения выбросов парниковых газов, использования </w:t>
      </w:r>
      <w:proofErr w:type="spellStart"/>
      <w:r w:rsidRPr="004D4384">
        <w:rPr>
          <w:rFonts w:ascii="Times New Roman" w:hAnsi="Times New Roman"/>
          <w:sz w:val="24"/>
          <w:szCs w:val="24"/>
          <w:lang w:val="ru-RU"/>
        </w:rPr>
        <w:t>ВИЭ</w:t>
      </w:r>
      <w:proofErr w:type="spellEnd"/>
      <w:r w:rsidRPr="004D4384">
        <w:rPr>
          <w:rFonts w:ascii="Times New Roman" w:hAnsi="Times New Roman"/>
          <w:sz w:val="24"/>
          <w:szCs w:val="24"/>
          <w:lang w:val="ru-RU"/>
        </w:rPr>
        <w:t xml:space="preserve">.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апреле 2010 г. в совместном письме главе Еврокомиссии Хосе </w:t>
      </w:r>
      <w:proofErr w:type="spellStart"/>
      <w:r w:rsidRPr="004D4384">
        <w:rPr>
          <w:rFonts w:ascii="Times New Roman" w:hAnsi="Times New Roman"/>
          <w:sz w:val="24"/>
          <w:szCs w:val="24"/>
          <w:lang w:val="ru-RU"/>
        </w:rPr>
        <w:t>Мануелю</w:t>
      </w:r>
      <w:proofErr w:type="spellEnd"/>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Бароззо</w:t>
      </w:r>
      <w:proofErr w:type="spellEnd"/>
      <w:r w:rsidRPr="004D4384">
        <w:rPr>
          <w:rFonts w:ascii="Times New Roman" w:hAnsi="Times New Roman"/>
          <w:sz w:val="24"/>
          <w:szCs w:val="24"/>
          <w:lang w:val="ru-RU"/>
        </w:rPr>
        <w:t xml:space="preserve"> Президент Франции Николя </w:t>
      </w:r>
      <w:proofErr w:type="spellStart"/>
      <w:r w:rsidRPr="004D4384">
        <w:rPr>
          <w:rFonts w:ascii="Times New Roman" w:hAnsi="Times New Roman"/>
          <w:sz w:val="24"/>
          <w:szCs w:val="24"/>
          <w:lang w:val="ru-RU"/>
        </w:rPr>
        <w:t>Саркози</w:t>
      </w:r>
      <w:proofErr w:type="spellEnd"/>
      <w:r w:rsidRPr="004D4384">
        <w:rPr>
          <w:rFonts w:ascii="Times New Roman" w:hAnsi="Times New Roman"/>
          <w:sz w:val="24"/>
          <w:szCs w:val="24"/>
          <w:lang w:val="ru-RU"/>
        </w:rPr>
        <w:t xml:space="preserve"> и Премьер-министр Италии </w:t>
      </w:r>
      <w:proofErr w:type="spellStart"/>
      <w:r w:rsidRPr="004D4384">
        <w:rPr>
          <w:rFonts w:ascii="Times New Roman" w:hAnsi="Times New Roman"/>
          <w:sz w:val="24"/>
          <w:szCs w:val="24"/>
          <w:lang w:val="ru-RU"/>
        </w:rPr>
        <w:t>Сильвио</w:t>
      </w:r>
      <w:proofErr w:type="spellEnd"/>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Берлускони</w:t>
      </w:r>
      <w:proofErr w:type="spellEnd"/>
      <w:r w:rsidRPr="004D4384">
        <w:rPr>
          <w:rFonts w:ascii="Times New Roman" w:hAnsi="Times New Roman"/>
          <w:sz w:val="24"/>
          <w:szCs w:val="24"/>
          <w:lang w:val="ru-RU"/>
        </w:rPr>
        <w:t xml:space="preserve"> требовали рассмотрения Европейским Союзом введения импортных пошлин на товары из стран, не соответствующих европейским экологическим стандартам. Они подчеркивали, что «было бы неприемлемым, если бы </w:t>
      </w:r>
      <w:proofErr w:type="gramStart"/>
      <w:r w:rsidRPr="004D4384">
        <w:rPr>
          <w:rFonts w:ascii="Times New Roman" w:hAnsi="Times New Roman"/>
          <w:sz w:val="24"/>
          <w:szCs w:val="24"/>
          <w:lang w:val="ru-RU"/>
        </w:rPr>
        <w:t>амбициозные</w:t>
      </w:r>
      <w:proofErr w:type="gramEnd"/>
      <w:r w:rsidRPr="004D4384">
        <w:rPr>
          <w:rFonts w:ascii="Times New Roman" w:hAnsi="Times New Roman"/>
          <w:sz w:val="24"/>
          <w:szCs w:val="24"/>
          <w:lang w:val="ru-RU"/>
        </w:rPr>
        <w:t xml:space="preserve"> усилия ЕС по сокращению парниковых выбросов были бы скомпрометированы «парниковой миграцией» из-за недостаточности мер, предпринимаемых третьими странами». Далее в письме говорилось, что такая пошлина может оказывать давление на третьи страны с тем, чтобы они предпринимали меры по снижению парниковых выбросов.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Введение «парникового» регулирования в США на федеральном уровне также неизбежно обернется  обвинениями в демпинге тех стран-импортеров, которые не закладывают цену углерода в свою продукцию. Импортеры будут вынуждены компенсировать углеродные выбросы, осуществленные в результате  производства их продукции по тем же причинам и мотивам.</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«Парниковая миграция» означает, что о</w:t>
      </w:r>
      <w:r w:rsidRPr="00C27BED">
        <w:rPr>
          <w:rFonts w:ascii="Times New Roman" w:hAnsi="Times New Roman"/>
          <w:sz w:val="24"/>
          <w:szCs w:val="24"/>
          <w:lang w:val="ru-RU"/>
        </w:rPr>
        <w:t>граничени</w:t>
      </w:r>
      <w:r>
        <w:rPr>
          <w:rFonts w:ascii="Times New Roman" w:hAnsi="Times New Roman"/>
          <w:sz w:val="24"/>
          <w:szCs w:val="24"/>
          <w:lang w:val="ru-RU"/>
        </w:rPr>
        <w:t>я</w:t>
      </w:r>
      <w:r w:rsidRPr="00C27BED">
        <w:rPr>
          <w:rFonts w:ascii="Times New Roman" w:hAnsi="Times New Roman"/>
          <w:sz w:val="24"/>
          <w:szCs w:val="24"/>
          <w:lang w:val="ru-RU"/>
        </w:rPr>
        <w:t xml:space="preserve"> на выбросы парниковых газов, принятые развитыми странами, ведут к </w:t>
      </w:r>
      <w:r>
        <w:rPr>
          <w:rFonts w:ascii="Times New Roman" w:hAnsi="Times New Roman"/>
          <w:sz w:val="24"/>
          <w:szCs w:val="24"/>
          <w:lang w:val="ru-RU"/>
        </w:rPr>
        <w:t>перемещению</w:t>
      </w:r>
      <w:r w:rsidRPr="00C27BED">
        <w:rPr>
          <w:rFonts w:ascii="Times New Roman" w:hAnsi="Times New Roman"/>
          <w:sz w:val="24"/>
          <w:szCs w:val="24"/>
          <w:lang w:val="ru-RU"/>
        </w:rPr>
        <w:t xml:space="preserve"> углеродоемки</w:t>
      </w:r>
      <w:r>
        <w:rPr>
          <w:rFonts w:ascii="Times New Roman" w:hAnsi="Times New Roman"/>
          <w:sz w:val="24"/>
          <w:szCs w:val="24"/>
          <w:lang w:val="ru-RU"/>
        </w:rPr>
        <w:t>х</w:t>
      </w:r>
      <w:r w:rsidRPr="00C27BED">
        <w:rPr>
          <w:rFonts w:ascii="Times New Roman" w:hAnsi="Times New Roman"/>
          <w:sz w:val="24"/>
          <w:szCs w:val="24"/>
          <w:lang w:val="ru-RU"/>
        </w:rPr>
        <w:t xml:space="preserve"> произво</w:t>
      </w:r>
      <w:proofErr w:type="gramStart"/>
      <w:r w:rsidRPr="00C27BED">
        <w:rPr>
          <w:rFonts w:ascii="Times New Roman" w:hAnsi="Times New Roman"/>
          <w:sz w:val="24"/>
          <w:szCs w:val="24"/>
          <w:lang w:val="ru-RU"/>
        </w:rPr>
        <w:t xml:space="preserve">дств </w:t>
      </w:r>
      <w:r>
        <w:rPr>
          <w:rFonts w:ascii="Times New Roman" w:hAnsi="Times New Roman"/>
          <w:sz w:val="24"/>
          <w:szCs w:val="24"/>
          <w:lang w:val="ru-RU"/>
        </w:rPr>
        <w:t>в стр</w:t>
      </w:r>
      <w:proofErr w:type="gramEnd"/>
      <w:r>
        <w:rPr>
          <w:rFonts w:ascii="Times New Roman" w:hAnsi="Times New Roman"/>
          <w:sz w:val="24"/>
          <w:szCs w:val="24"/>
          <w:lang w:val="ru-RU"/>
        </w:rPr>
        <w:t>аны</w:t>
      </w:r>
      <w:r w:rsidRPr="00C27BED">
        <w:rPr>
          <w:rFonts w:ascii="Times New Roman" w:hAnsi="Times New Roman"/>
          <w:sz w:val="24"/>
          <w:szCs w:val="24"/>
          <w:lang w:val="ru-RU"/>
        </w:rPr>
        <w:t>, которые не приняли таких ограничений. В результате такие углеродоемкие производства продолжают экстенсивно развиваться и общий объем эмиссий сократить не удается. Об</w:t>
      </w:r>
      <w:r>
        <w:rPr>
          <w:rFonts w:ascii="Times New Roman" w:hAnsi="Times New Roman"/>
          <w:sz w:val="24"/>
          <w:szCs w:val="24"/>
          <w:lang w:val="ru-RU"/>
        </w:rPr>
        <w:t xml:space="preserve"> </w:t>
      </w:r>
      <w:r w:rsidRPr="00C27BED">
        <w:rPr>
          <w:rFonts w:ascii="Times New Roman" w:hAnsi="Times New Roman"/>
          <w:sz w:val="24"/>
          <w:szCs w:val="24"/>
          <w:lang w:val="ru-RU"/>
        </w:rPr>
        <w:t>этом свидетельствует, например</w:t>
      </w:r>
      <w:r>
        <w:rPr>
          <w:rFonts w:ascii="Times New Roman" w:hAnsi="Times New Roman"/>
          <w:sz w:val="24"/>
          <w:szCs w:val="24"/>
          <w:lang w:val="ru-RU"/>
        </w:rPr>
        <w:t>,</w:t>
      </w:r>
      <w:r w:rsidRPr="00C27BED">
        <w:rPr>
          <w:rFonts w:ascii="Times New Roman" w:hAnsi="Times New Roman"/>
          <w:sz w:val="24"/>
          <w:szCs w:val="24"/>
          <w:lang w:val="ru-RU"/>
        </w:rPr>
        <w:t xml:space="preserve"> то, что в течение 1995 – 200</w:t>
      </w:r>
      <w:r>
        <w:rPr>
          <w:rFonts w:ascii="Times New Roman" w:hAnsi="Times New Roman"/>
          <w:sz w:val="24"/>
          <w:szCs w:val="24"/>
          <w:lang w:val="ru-RU"/>
        </w:rPr>
        <w:t>0</w:t>
      </w:r>
      <w:r w:rsidRPr="00C27BED">
        <w:rPr>
          <w:rFonts w:ascii="Times New Roman" w:hAnsi="Times New Roman"/>
          <w:sz w:val="24"/>
          <w:szCs w:val="24"/>
          <w:lang w:val="ru-RU"/>
        </w:rPr>
        <w:t xml:space="preserve"> гг. экспорт из стран </w:t>
      </w:r>
      <w:proofErr w:type="spellStart"/>
      <w:r w:rsidRPr="00C27BED">
        <w:rPr>
          <w:rFonts w:ascii="Times New Roman" w:hAnsi="Times New Roman"/>
          <w:sz w:val="24"/>
          <w:szCs w:val="24"/>
          <w:lang w:val="ru-RU"/>
        </w:rPr>
        <w:t>ОЭСР</w:t>
      </w:r>
      <w:proofErr w:type="spellEnd"/>
      <w:r w:rsidRPr="00C27BED">
        <w:rPr>
          <w:rFonts w:ascii="Times New Roman" w:hAnsi="Times New Roman"/>
          <w:sz w:val="24"/>
          <w:szCs w:val="24"/>
          <w:lang w:val="ru-RU"/>
        </w:rPr>
        <w:t xml:space="preserve"> в прочие страны вырос на 7% в номинальном выражении в долларах США, тогда как соответствующий импорт на 47%. Значительная часть этого роста приходится на углеродоемкие товары. Например, в 1995 г. объем экспорта металла из стран </w:t>
      </w:r>
      <w:proofErr w:type="spellStart"/>
      <w:r w:rsidRPr="00C27BED">
        <w:rPr>
          <w:rFonts w:ascii="Times New Roman" w:hAnsi="Times New Roman"/>
          <w:sz w:val="24"/>
          <w:szCs w:val="24"/>
          <w:lang w:val="ru-RU"/>
        </w:rPr>
        <w:t>ОЭСР</w:t>
      </w:r>
      <w:proofErr w:type="spellEnd"/>
      <w:r w:rsidRPr="00C27BED">
        <w:rPr>
          <w:rFonts w:ascii="Times New Roman" w:hAnsi="Times New Roman"/>
          <w:sz w:val="24"/>
          <w:szCs w:val="24"/>
          <w:lang w:val="ru-RU"/>
        </w:rPr>
        <w:t xml:space="preserve"> в иные страны составил 50 млрд. долларов, импорт 55 млрд. В 2000 г. экспорт упал до 40 млрд., а импорт возрос до 62. Примерно 40% снижения выбросов в результате действия Киотского протокола было компенсировано ростом эмиссий в странах, не взявших на себя обязательства.  Четверть парниковых эмиссий КНР приходится на экспортное производство</w:t>
      </w:r>
      <w:r>
        <w:rPr>
          <w:rFonts w:ascii="Times New Roman" w:hAnsi="Times New Roman"/>
          <w:sz w:val="24"/>
          <w:szCs w:val="24"/>
          <w:lang w:val="ru-RU"/>
        </w:rPr>
        <w:t>.</w:t>
      </w:r>
      <w:r>
        <w:rPr>
          <w:rStyle w:val="ad"/>
          <w:rFonts w:ascii="Times New Roman" w:hAnsi="Times New Roman"/>
          <w:sz w:val="24"/>
          <w:szCs w:val="24"/>
          <w:lang w:val="ru-RU"/>
        </w:rPr>
        <w:footnoteReference w:id="16"/>
      </w:r>
    </w:p>
    <w:p w:rsidR="007D6401" w:rsidRDefault="007D6401" w:rsidP="007D6401">
      <w:pPr>
        <w:spacing w:after="120" w:line="240" w:lineRule="auto"/>
        <w:ind w:firstLine="567"/>
        <w:jc w:val="both"/>
        <w:rPr>
          <w:rFonts w:ascii="Times New Roman" w:hAnsi="Times New Roman"/>
          <w:sz w:val="24"/>
          <w:szCs w:val="24"/>
          <w:lang w:val="ru-RU"/>
        </w:rPr>
      </w:pPr>
      <w:proofErr w:type="gramStart"/>
      <w:r w:rsidRPr="00FC667C">
        <w:rPr>
          <w:rFonts w:ascii="Times New Roman" w:hAnsi="Times New Roman"/>
          <w:sz w:val="24"/>
          <w:szCs w:val="24"/>
          <w:lang w:val="ru-RU"/>
        </w:rPr>
        <w:t xml:space="preserve">Наибольший нетто-приток парниковых эмиссий в страны </w:t>
      </w:r>
      <w:proofErr w:type="spellStart"/>
      <w:r w:rsidRPr="00FC667C">
        <w:rPr>
          <w:rFonts w:ascii="Times New Roman" w:hAnsi="Times New Roman"/>
          <w:sz w:val="24"/>
          <w:szCs w:val="24"/>
          <w:lang w:val="ru-RU"/>
        </w:rPr>
        <w:t>ОЭСР</w:t>
      </w:r>
      <w:proofErr w:type="spellEnd"/>
      <w:r w:rsidRPr="00FC667C">
        <w:rPr>
          <w:rFonts w:ascii="Times New Roman" w:hAnsi="Times New Roman"/>
          <w:sz w:val="24"/>
          <w:szCs w:val="24"/>
          <w:lang w:val="ru-RU"/>
        </w:rPr>
        <w:t xml:space="preserve"> приходится на импорт из КНР и России, при этом углеродоемкость, связанная с производством экспортной продукции, соответственно на 10 и 15% превышает углеродоемкость связанную с ее потреблением.</w:t>
      </w:r>
      <w:r>
        <w:rPr>
          <w:rStyle w:val="ad"/>
          <w:rFonts w:ascii="Times New Roman" w:hAnsi="Times New Roman"/>
          <w:sz w:val="24"/>
          <w:szCs w:val="24"/>
          <w:lang w:val="ru-RU"/>
        </w:rPr>
        <w:footnoteReference w:id="17"/>
      </w:r>
      <w:r w:rsidRPr="00FC667C">
        <w:rPr>
          <w:rFonts w:ascii="Times New Roman" w:hAnsi="Times New Roman"/>
          <w:sz w:val="24"/>
          <w:szCs w:val="24"/>
          <w:lang w:val="ru-RU"/>
        </w:rPr>
        <w:t xml:space="preserve"> </w:t>
      </w:r>
      <w:proofErr w:type="gramEnd"/>
    </w:p>
    <w:p w:rsidR="007D6401" w:rsidRPr="00FC667C" w:rsidRDefault="007D6401" w:rsidP="007D6401">
      <w:pPr>
        <w:spacing w:after="120" w:line="240" w:lineRule="auto"/>
        <w:ind w:firstLine="567"/>
        <w:jc w:val="both"/>
        <w:rPr>
          <w:rFonts w:ascii="Times New Roman" w:hAnsi="Times New Roman"/>
          <w:sz w:val="24"/>
          <w:szCs w:val="24"/>
          <w:lang w:val="ru-RU"/>
        </w:rPr>
      </w:pPr>
      <w:r w:rsidRPr="00FC667C">
        <w:rPr>
          <w:rFonts w:ascii="Times New Roman" w:hAnsi="Times New Roman"/>
          <w:sz w:val="24"/>
          <w:szCs w:val="24"/>
          <w:lang w:val="ru-RU"/>
        </w:rPr>
        <w:t xml:space="preserve">Объем превышения углеродоемкости производства экспортной продукции над углеродоемкостью ее потребления КНР и России больше отдельных установленных количеств (квот)  всех стран включенных в приложение </w:t>
      </w:r>
      <w:proofErr w:type="spellStart"/>
      <w:r w:rsidRPr="00FC667C">
        <w:rPr>
          <w:rFonts w:ascii="Times New Roman" w:hAnsi="Times New Roman"/>
          <w:sz w:val="24"/>
          <w:szCs w:val="24"/>
          <w:lang w:val="ru-RU"/>
        </w:rPr>
        <w:t>I</w:t>
      </w:r>
      <w:proofErr w:type="spellEnd"/>
      <w:r w:rsidRPr="00FC667C">
        <w:rPr>
          <w:rFonts w:ascii="Times New Roman" w:hAnsi="Times New Roman"/>
          <w:sz w:val="24"/>
          <w:szCs w:val="24"/>
          <w:lang w:val="ru-RU"/>
        </w:rPr>
        <w:t xml:space="preserve"> Киотског</w:t>
      </w:r>
      <w:r>
        <w:rPr>
          <w:rFonts w:ascii="Times New Roman" w:hAnsi="Times New Roman"/>
          <w:sz w:val="24"/>
          <w:szCs w:val="24"/>
          <w:lang w:val="ru-RU"/>
        </w:rPr>
        <w:t>о протокола, за исключением 4-х</w:t>
      </w:r>
      <w:r w:rsidRPr="00FC667C">
        <w:rPr>
          <w:rFonts w:ascii="Times New Roman" w:hAnsi="Times New Roman"/>
          <w:sz w:val="24"/>
          <w:szCs w:val="24"/>
          <w:lang w:val="ru-RU"/>
        </w:rPr>
        <w:t xml:space="preserve">. </w:t>
      </w:r>
    </w:p>
    <w:p w:rsidR="007D6401" w:rsidRPr="00FC667C" w:rsidRDefault="007D6401" w:rsidP="007D6401">
      <w:pPr>
        <w:spacing w:after="120" w:line="240" w:lineRule="auto"/>
        <w:ind w:firstLine="567"/>
        <w:jc w:val="both"/>
        <w:rPr>
          <w:rFonts w:ascii="Times New Roman" w:hAnsi="Times New Roman"/>
          <w:sz w:val="24"/>
          <w:szCs w:val="24"/>
          <w:lang w:val="ru-RU"/>
        </w:rPr>
      </w:pPr>
      <w:r w:rsidRPr="00FC667C">
        <w:rPr>
          <w:rFonts w:ascii="Times New Roman" w:hAnsi="Times New Roman"/>
          <w:sz w:val="24"/>
          <w:szCs w:val="24"/>
          <w:lang w:val="ru-RU"/>
        </w:rPr>
        <w:t xml:space="preserve">Углеродоемкости экспорта и импорта придается большое значение в связи с тем, что она чаще всего составляет 10% и более процентов углеродоемкости внутреннего производства, а во многих случаях (Дания, Финляндия, Нидерланды, Корея, Новая Зеландия, Норвегия, Швеция) углеродоемкость импорта превышает 30% углеродоемкости </w:t>
      </w:r>
      <w:r w:rsidRPr="00FC667C">
        <w:rPr>
          <w:rFonts w:ascii="Times New Roman" w:hAnsi="Times New Roman"/>
          <w:sz w:val="24"/>
          <w:szCs w:val="24"/>
          <w:lang w:val="ru-RU"/>
        </w:rPr>
        <w:lastRenderedPageBreak/>
        <w:t xml:space="preserve">внутреннего производства. Таким образом, малейшие изменения, вызванные колебаниями конъюнктуры, приобретают огромное значение для этих стран.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Углеродоемкос</w:t>
      </w:r>
      <w:r w:rsidRPr="00FC667C">
        <w:rPr>
          <w:rFonts w:ascii="Times New Roman" w:hAnsi="Times New Roman"/>
          <w:sz w:val="24"/>
          <w:szCs w:val="24"/>
          <w:lang w:val="ru-RU"/>
        </w:rPr>
        <w:t xml:space="preserve">ть импорта из стран, не имеющих обязательных ограничение, возрастает на 10% в том случае, если импортер берет на себя обязательства по ограничению выбросов. И это вызвано отнюдь не технологическими изменениями, а количественными  изменениями. </w:t>
      </w:r>
    </w:p>
    <w:p w:rsidR="007D6401" w:rsidRDefault="007D6401" w:rsidP="007D6401">
      <w:pPr>
        <w:spacing w:after="120" w:line="240" w:lineRule="auto"/>
        <w:ind w:firstLine="567"/>
        <w:jc w:val="both"/>
        <w:rPr>
          <w:rFonts w:ascii="Times New Roman" w:hAnsi="Times New Roman"/>
          <w:sz w:val="24"/>
          <w:szCs w:val="24"/>
          <w:lang w:val="ru-RU"/>
        </w:rPr>
      </w:pPr>
      <w:r w:rsidRPr="006C2CF5">
        <w:rPr>
          <w:rFonts w:ascii="Times New Roman" w:hAnsi="Times New Roman"/>
          <w:sz w:val="24"/>
          <w:szCs w:val="24"/>
          <w:lang w:val="ru-RU"/>
        </w:rPr>
        <w:t xml:space="preserve">Тек, кто ввел или </w:t>
      </w:r>
      <w:proofErr w:type="gramStart"/>
      <w:r w:rsidRPr="006C2CF5">
        <w:rPr>
          <w:rFonts w:ascii="Times New Roman" w:hAnsi="Times New Roman"/>
          <w:sz w:val="24"/>
          <w:szCs w:val="24"/>
          <w:lang w:val="ru-RU"/>
        </w:rPr>
        <w:t>вводит обязательные системы рыночного регулирования на настоящем этапе демонстрируют</w:t>
      </w:r>
      <w:proofErr w:type="gramEnd"/>
      <w:r w:rsidRPr="006C2CF5">
        <w:rPr>
          <w:rFonts w:ascii="Times New Roman" w:hAnsi="Times New Roman"/>
          <w:sz w:val="24"/>
          <w:szCs w:val="24"/>
          <w:lang w:val="ru-RU"/>
        </w:rPr>
        <w:t xml:space="preserve">  крепнущую солидарность</w:t>
      </w:r>
      <w:r>
        <w:rPr>
          <w:rFonts w:ascii="Times New Roman" w:hAnsi="Times New Roman"/>
          <w:sz w:val="24"/>
          <w:szCs w:val="24"/>
          <w:lang w:val="ru-RU"/>
        </w:rPr>
        <w:t xml:space="preserve"> и</w:t>
      </w:r>
      <w:r w:rsidRPr="006C2CF5">
        <w:rPr>
          <w:rFonts w:ascii="Times New Roman" w:hAnsi="Times New Roman"/>
          <w:sz w:val="24"/>
          <w:szCs w:val="24"/>
          <w:lang w:val="ru-RU"/>
        </w:rPr>
        <w:t xml:space="preserve"> уверенность в глобальном распространении таких систем. Как заявил 5 сентября глава Еврокомиссии Хосе Манюэль </w:t>
      </w:r>
      <w:proofErr w:type="spellStart"/>
      <w:r w:rsidRPr="006C2CF5">
        <w:rPr>
          <w:rFonts w:ascii="Times New Roman" w:hAnsi="Times New Roman"/>
          <w:sz w:val="24"/>
          <w:szCs w:val="24"/>
          <w:lang w:val="ru-RU"/>
        </w:rPr>
        <w:t>Бароззо</w:t>
      </w:r>
      <w:proofErr w:type="spellEnd"/>
      <w:r w:rsidRPr="006C2CF5">
        <w:rPr>
          <w:rFonts w:ascii="Times New Roman" w:hAnsi="Times New Roman"/>
          <w:sz w:val="24"/>
          <w:szCs w:val="24"/>
          <w:lang w:val="ru-RU"/>
        </w:rPr>
        <w:t xml:space="preserve"> о введении рыночного регулирования парниковых выбросов в Австралии: «Мы уверены, что такого рода регулирование на таком рынке это самый экономичный способ стимулирования инноваций и нового бизнеса с точки зрения «зеленого развития», поэтому мы приветствуем решения правительства Австралии, и, безусловно, вместе с партнерами мы будем делать все для расширения этого рынка». «Солидарность борьбе» за распространение обязательного квотирования, как это всегда бывает, обернется и против тех, кто такое регулирование не вводит.</w:t>
      </w:r>
    </w:p>
    <w:p w:rsidR="007D6401" w:rsidRPr="006C2CF5"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Вместе с тем, следовало бы заметить, что учет углеродоемкости экспорта-импорта «палка о двух концах». Такой учет означает, что страны – импортеры углеродоемкой продукции, фактически, и несут ответственность за те выбросы, которые сопутствовали производству и транспортировку нужной им продукции. Эти парниковые эмиссии вызваны ничем иным как спросом. Гипотетический расчет выбросов на основе углеродного содержания потребления, а не производства (как это сделано в Киотском протоколе) сильно изменил бы картину и ранжир стран – эмиттеров. К примеру, Китай ушел бы далеко от первого места по объему выбросов. </w:t>
      </w:r>
    </w:p>
    <w:p w:rsidR="007D6401" w:rsidRDefault="007D6401" w:rsidP="007D6401">
      <w:pPr>
        <w:spacing w:after="120" w:line="240" w:lineRule="auto"/>
        <w:ind w:firstLine="567"/>
        <w:jc w:val="both"/>
        <w:rPr>
          <w:rFonts w:ascii="Times New Roman" w:hAnsi="Times New Roman"/>
          <w:sz w:val="24"/>
          <w:szCs w:val="24"/>
          <w:lang w:val="ru-RU"/>
        </w:rPr>
      </w:pPr>
      <w:r w:rsidRPr="006C2CF5">
        <w:rPr>
          <w:rFonts w:ascii="Times New Roman" w:hAnsi="Times New Roman"/>
          <w:sz w:val="24"/>
          <w:szCs w:val="24"/>
          <w:lang w:val="ru-RU"/>
        </w:rPr>
        <w:t>«Углеродный», «парниковый» протекционизм со стороны Запада мог бы показаться бессмысленным с точки зрения хрестоматийных принципов</w:t>
      </w:r>
      <w:r>
        <w:rPr>
          <w:rFonts w:ascii="Times New Roman" w:hAnsi="Times New Roman"/>
          <w:sz w:val="24"/>
          <w:szCs w:val="24"/>
          <w:lang w:val="ru-RU"/>
        </w:rPr>
        <w:t>.</w:t>
      </w:r>
      <w:r w:rsidRPr="006C2CF5">
        <w:rPr>
          <w:rFonts w:ascii="Times New Roman" w:hAnsi="Times New Roman"/>
          <w:sz w:val="24"/>
          <w:szCs w:val="24"/>
          <w:lang w:val="ru-RU"/>
        </w:rPr>
        <w:t xml:space="preserve"> </w:t>
      </w:r>
      <w:r>
        <w:rPr>
          <w:rFonts w:ascii="Times New Roman" w:hAnsi="Times New Roman"/>
          <w:sz w:val="24"/>
          <w:szCs w:val="24"/>
          <w:lang w:val="ru-RU"/>
        </w:rPr>
        <w:t>Говоря словами Д.И. Менделеева,</w:t>
      </w:r>
      <w:r w:rsidRPr="006C2CF5">
        <w:rPr>
          <w:rFonts w:ascii="Times New Roman" w:hAnsi="Times New Roman"/>
          <w:sz w:val="24"/>
          <w:szCs w:val="24"/>
          <w:lang w:val="ru-RU"/>
        </w:rPr>
        <w:t xml:space="preserve"> «протекционизм может быть полезен только при условии существования в данной стране всех естественных условий для развития того вида промышленности, который </w:t>
      </w:r>
      <w:proofErr w:type="spellStart"/>
      <w:r w:rsidRPr="006C2CF5">
        <w:rPr>
          <w:rFonts w:ascii="Times New Roman" w:hAnsi="Times New Roman"/>
          <w:sz w:val="24"/>
          <w:szCs w:val="24"/>
          <w:lang w:val="ru-RU"/>
        </w:rPr>
        <w:t>покровительствуется</w:t>
      </w:r>
      <w:proofErr w:type="spellEnd"/>
      <w:r w:rsidRPr="006C2CF5">
        <w:rPr>
          <w:rFonts w:ascii="Times New Roman" w:hAnsi="Times New Roman"/>
          <w:sz w:val="24"/>
          <w:szCs w:val="24"/>
          <w:lang w:val="ru-RU"/>
        </w:rPr>
        <w:t>, для возрождения в ней внутреннего соревнования».</w:t>
      </w:r>
      <w:r>
        <w:rPr>
          <w:rStyle w:val="ad"/>
          <w:rFonts w:ascii="Times New Roman" w:hAnsi="Times New Roman"/>
          <w:sz w:val="24"/>
          <w:szCs w:val="24"/>
          <w:lang w:val="ru-RU"/>
        </w:rPr>
        <w:footnoteReference w:id="18"/>
      </w:r>
      <w:r w:rsidRPr="006C2CF5">
        <w:rPr>
          <w:rFonts w:ascii="Times New Roman" w:hAnsi="Times New Roman"/>
          <w:sz w:val="24"/>
          <w:szCs w:val="24"/>
          <w:lang w:val="ru-RU"/>
        </w:rPr>
        <w:t xml:space="preserve"> «Естественных условий» для соответствующего развития производства цемента, химикатов или металлургии в развитых странах Запада нет, как нет и стремления развивать эти отрасли. Но если принять во внимание настойчивость </w:t>
      </w:r>
      <w:proofErr w:type="gramStart"/>
      <w:r w:rsidRPr="006C2CF5">
        <w:rPr>
          <w:rFonts w:ascii="Times New Roman" w:hAnsi="Times New Roman"/>
          <w:sz w:val="24"/>
          <w:szCs w:val="24"/>
          <w:lang w:val="ru-RU"/>
        </w:rPr>
        <w:t>тех</w:t>
      </w:r>
      <w:proofErr w:type="gramEnd"/>
      <w:r w:rsidRPr="006C2CF5">
        <w:rPr>
          <w:rFonts w:ascii="Times New Roman" w:hAnsi="Times New Roman"/>
          <w:sz w:val="24"/>
          <w:szCs w:val="24"/>
          <w:lang w:val="ru-RU"/>
        </w:rPr>
        <w:t xml:space="preserve"> же развитых стран Запада в организации финансовой, технологической и иной поддержки развивающимся странам, принять во внимание то, что в отличие от России, развивающиеся страны практически бессрочно охватываются механизмом, стимулирующим сокращения парниковых эмиссий (</w:t>
      </w:r>
      <w:r>
        <w:rPr>
          <w:rFonts w:ascii="Times New Roman" w:hAnsi="Times New Roman"/>
          <w:sz w:val="24"/>
          <w:szCs w:val="24"/>
          <w:lang w:val="ru-RU"/>
        </w:rPr>
        <w:t xml:space="preserve">«механизм </w:t>
      </w:r>
      <w:r w:rsidRPr="006C2CF5">
        <w:rPr>
          <w:rFonts w:ascii="Times New Roman" w:hAnsi="Times New Roman"/>
          <w:sz w:val="24"/>
          <w:szCs w:val="24"/>
          <w:lang w:val="ru-RU"/>
        </w:rPr>
        <w:t xml:space="preserve">чистого развития» Киотского протокола), а ведущие из них (КНР, Индия) планируют введение внутренних систем экономического регулирования парниковых эмиссий, то логика протекционистских мер против России и в пользу этих стран </w:t>
      </w:r>
      <w:r>
        <w:rPr>
          <w:rFonts w:ascii="Times New Roman" w:hAnsi="Times New Roman"/>
          <w:sz w:val="24"/>
          <w:szCs w:val="24"/>
          <w:lang w:val="ru-RU"/>
        </w:rPr>
        <w:t xml:space="preserve">может оказаться </w:t>
      </w:r>
      <w:r w:rsidRPr="006C2CF5">
        <w:rPr>
          <w:rFonts w:ascii="Times New Roman" w:hAnsi="Times New Roman"/>
          <w:sz w:val="24"/>
          <w:szCs w:val="24"/>
          <w:lang w:val="ru-RU"/>
        </w:rPr>
        <w:t>вполне очевидн</w:t>
      </w:r>
      <w:r>
        <w:rPr>
          <w:rFonts w:ascii="Times New Roman" w:hAnsi="Times New Roman"/>
          <w:sz w:val="24"/>
          <w:szCs w:val="24"/>
          <w:lang w:val="ru-RU"/>
        </w:rPr>
        <w:t>ой</w:t>
      </w:r>
      <w:r w:rsidRPr="006C2CF5">
        <w:rPr>
          <w:rFonts w:ascii="Times New Roman" w:hAnsi="Times New Roman"/>
          <w:sz w:val="24"/>
          <w:szCs w:val="24"/>
          <w:lang w:val="ru-RU"/>
        </w:rPr>
        <w:t>. Кроме того, целью нажима является и расширение рынка для технологий снижения парниковых эмиссий, что уже прямо соответствует экономическим интересам того же Евросоюза.</w:t>
      </w:r>
    </w:p>
    <w:p w:rsidR="007D6401" w:rsidRPr="00D82381" w:rsidRDefault="007D6401" w:rsidP="007D6401">
      <w:pPr>
        <w:spacing w:after="120" w:line="240" w:lineRule="auto"/>
        <w:ind w:firstLine="567"/>
        <w:jc w:val="both"/>
        <w:rPr>
          <w:rFonts w:ascii="Times New Roman" w:hAnsi="Times New Roman"/>
          <w:sz w:val="24"/>
          <w:szCs w:val="24"/>
          <w:lang w:val="ru-RU"/>
        </w:rPr>
      </w:pPr>
      <w:r w:rsidRPr="006C2CF5">
        <w:rPr>
          <w:rFonts w:ascii="Times New Roman" w:hAnsi="Times New Roman"/>
          <w:sz w:val="24"/>
          <w:szCs w:val="24"/>
          <w:lang w:val="ru-RU"/>
        </w:rPr>
        <w:t xml:space="preserve"> </w:t>
      </w:r>
      <w:proofErr w:type="gramStart"/>
      <w:r w:rsidRPr="00D82381">
        <w:rPr>
          <w:rFonts w:ascii="Times New Roman" w:hAnsi="Times New Roman"/>
          <w:sz w:val="24"/>
          <w:szCs w:val="24"/>
          <w:lang w:val="ru-RU"/>
        </w:rPr>
        <w:t xml:space="preserve">Подробный анализ влияния «парникового» регулирования на структуру экспорта-импорта, проведенные </w:t>
      </w:r>
      <w:proofErr w:type="spellStart"/>
      <w:r w:rsidRPr="00D82381">
        <w:rPr>
          <w:rFonts w:ascii="Times New Roman" w:hAnsi="Times New Roman"/>
          <w:sz w:val="24"/>
          <w:szCs w:val="24"/>
          <w:lang w:val="ru-RU"/>
        </w:rPr>
        <w:t>ОЭСР</w:t>
      </w:r>
      <w:proofErr w:type="spellEnd"/>
      <w:r w:rsidRPr="00D82381">
        <w:rPr>
          <w:rFonts w:ascii="Times New Roman" w:hAnsi="Times New Roman"/>
          <w:sz w:val="24"/>
          <w:szCs w:val="24"/>
          <w:lang w:val="ru-RU"/>
        </w:rPr>
        <w:t xml:space="preserve"> приводят к однозначному выводу о том, что введение жесткого «парникового» регулирования ведет к экстенсивному увеличению импорта углеродоемкой продукции за счет масштаба, без изменения технологического содержания, и одновременно к изменению структуры экспорта за счет перехода к </w:t>
      </w:r>
      <w:proofErr w:type="spellStart"/>
      <w:r w:rsidRPr="00D82381">
        <w:rPr>
          <w:rFonts w:ascii="Times New Roman" w:hAnsi="Times New Roman"/>
          <w:sz w:val="24"/>
          <w:szCs w:val="24"/>
          <w:lang w:val="ru-RU"/>
        </w:rPr>
        <w:t>низкоуглерод</w:t>
      </w:r>
      <w:r>
        <w:rPr>
          <w:rFonts w:ascii="Times New Roman" w:hAnsi="Times New Roman"/>
          <w:sz w:val="24"/>
          <w:szCs w:val="24"/>
          <w:lang w:val="ru-RU"/>
        </w:rPr>
        <w:t>ным</w:t>
      </w:r>
      <w:proofErr w:type="spellEnd"/>
      <w:r w:rsidRPr="00D82381">
        <w:rPr>
          <w:rFonts w:ascii="Times New Roman" w:hAnsi="Times New Roman"/>
          <w:sz w:val="24"/>
          <w:szCs w:val="24"/>
          <w:lang w:val="ru-RU"/>
        </w:rPr>
        <w:t xml:space="preserve"> </w:t>
      </w:r>
      <w:r w:rsidRPr="00D82381">
        <w:rPr>
          <w:rFonts w:ascii="Times New Roman" w:hAnsi="Times New Roman"/>
          <w:sz w:val="24"/>
          <w:szCs w:val="24"/>
          <w:lang w:val="ru-RU"/>
        </w:rPr>
        <w:lastRenderedPageBreak/>
        <w:t xml:space="preserve">технологиям производства, интенсивного перехода   на </w:t>
      </w:r>
      <w:proofErr w:type="spellStart"/>
      <w:r w:rsidRPr="00D82381">
        <w:rPr>
          <w:rFonts w:ascii="Times New Roman" w:hAnsi="Times New Roman"/>
          <w:sz w:val="24"/>
          <w:szCs w:val="24"/>
          <w:lang w:val="ru-RU"/>
        </w:rPr>
        <w:t>энергоэффективные</w:t>
      </w:r>
      <w:proofErr w:type="spellEnd"/>
      <w:r w:rsidRPr="00D82381">
        <w:rPr>
          <w:rFonts w:ascii="Times New Roman" w:hAnsi="Times New Roman"/>
          <w:sz w:val="24"/>
          <w:szCs w:val="24"/>
          <w:lang w:val="ru-RU"/>
        </w:rPr>
        <w:t xml:space="preserve"> технологии.</w:t>
      </w:r>
      <w:proofErr w:type="gramEnd"/>
      <w:r w:rsidRPr="00D82381">
        <w:rPr>
          <w:rFonts w:ascii="Times New Roman" w:hAnsi="Times New Roman"/>
          <w:sz w:val="24"/>
          <w:szCs w:val="24"/>
          <w:lang w:val="ru-RU"/>
        </w:rPr>
        <w:t xml:space="preserve"> Такие изменения благоприятны для страны с точки зрения создания новых эффективных стимулов </w:t>
      </w:r>
      <w:r>
        <w:rPr>
          <w:rFonts w:ascii="Times New Roman" w:hAnsi="Times New Roman"/>
          <w:sz w:val="24"/>
          <w:szCs w:val="24"/>
          <w:lang w:val="ru-RU"/>
        </w:rPr>
        <w:t>и</w:t>
      </w:r>
      <w:r w:rsidRPr="00D82381">
        <w:rPr>
          <w:rFonts w:ascii="Times New Roman" w:hAnsi="Times New Roman"/>
          <w:sz w:val="24"/>
          <w:szCs w:val="24"/>
          <w:lang w:val="ru-RU"/>
        </w:rPr>
        <w:t>нновационного</w:t>
      </w:r>
      <w:r>
        <w:rPr>
          <w:rFonts w:ascii="Times New Roman" w:hAnsi="Times New Roman"/>
          <w:sz w:val="24"/>
          <w:szCs w:val="24"/>
          <w:lang w:val="ru-RU"/>
        </w:rPr>
        <w:t xml:space="preserve"> развития</w:t>
      </w:r>
      <w:r w:rsidRPr="00D82381">
        <w:rPr>
          <w:rFonts w:ascii="Times New Roman" w:hAnsi="Times New Roman"/>
          <w:sz w:val="24"/>
          <w:szCs w:val="24"/>
          <w:lang w:val="ru-RU"/>
        </w:rPr>
        <w:t>.</w:t>
      </w:r>
    </w:p>
    <w:p w:rsidR="007D6401" w:rsidRDefault="007D6401" w:rsidP="007D6401">
      <w:pPr>
        <w:spacing w:after="120" w:line="240" w:lineRule="auto"/>
        <w:ind w:firstLine="567"/>
        <w:jc w:val="both"/>
        <w:rPr>
          <w:rFonts w:ascii="Times New Roman" w:hAnsi="Times New Roman"/>
          <w:sz w:val="24"/>
          <w:szCs w:val="24"/>
          <w:lang w:val="ru-RU"/>
        </w:rPr>
      </w:pPr>
      <w:r w:rsidRPr="00D82381">
        <w:rPr>
          <w:rFonts w:ascii="Times New Roman" w:hAnsi="Times New Roman"/>
          <w:sz w:val="24"/>
          <w:szCs w:val="24"/>
          <w:lang w:val="ru-RU"/>
        </w:rPr>
        <w:t xml:space="preserve">Многочисленные работы исследователей по проблемам влияния «парникового» регулирования на торговых партнеров подводят к выводу о необходимости введения импортных пошлин на «парниковую» составляющую. Без таких пошлин квотирование парниковых эмиссий в отдельных странах и регионах не только неэффективно, но и </w:t>
      </w:r>
      <w:proofErr w:type="spellStart"/>
      <w:r w:rsidRPr="00D82381">
        <w:rPr>
          <w:rFonts w:ascii="Times New Roman" w:hAnsi="Times New Roman"/>
          <w:sz w:val="24"/>
          <w:szCs w:val="24"/>
          <w:lang w:val="ru-RU"/>
        </w:rPr>
        <w:t>контрпродуктивно</w:t>
      </w:r>
      <w:proofErr w:type="spellEnd"/>
      <w:r>
        <w:rPr>
          <w:rFonts w:ascii="Times New Roman" w:hAnsi="Times New Roman"/>
          <w:sz w:val="24"/>
          <w:szCs w:val="24"/>
          <w:lang w:val="ru-RU"/>
        </w:rPr>
        <w:t>,</w:t>
      </w:r>
      <w:r w:rsidRPr="00D82381">
        <w:rPr>
          <w:rFonts w:ascii="Times New Roman" w:hAnsi="Times New Roman"/>
          <w:sz w:val="24"/>
          <w:szCs w:val="24"/>
          <w:lang w:val="ru-RU"/>
        </w:rPr>
        <w:t xml:space="preserve"> так как ведет к </w:t>
      </w:r>
      <w:r>
        <w:rPr>
          <w:rFonts w:ascii="Times New Roman" w:hAnsi="Times New Roman"/>
          <w:sz w:val="24"/>
          <w:szCs w:val="24"/>
          <w:lang w:val="ru-RU"/>
        </w:rPr>
        <w:t>е</w:t>
      </w:r>
      <w:r w:rsidRPr="00D82381">
        <w:rPr>
          <w:rFonts w:ascii="Times New Roman" w:hAnsi="Times New Roman"/>
          <w:sz w:val="24"/>
          <w:szCs w:val="24"/>
          <w:lang w:val="ru-RU"/>
        </w:rPr>
        <w:t xml:space="preserve">ще большему росту глобальных парниковых эмиссий за счет миграции </w:t>
      </w:r>
      <w:r>
        <w:rPr>
          <w:rFonts w:ascii="Times New Roman" w:hAnsi="Times New Roman"/>
          <w:sz w:val="24"/>
          <w:szCs w:val="24"/>
          <w:lang w:val="ru-RU"/>
        </w:rPr>
        <w:t xml:space="preserve">углеродоемких </w:t>
      </w:r>
      <w:r w:rsidRPr="00D82381">
        <w:rPr>
          <w:rFonts w:ascii="Times New Roman" w:hAnsi="Times New Roman"/>
          <w:sz w:val="24"/>
          <w:szCs w:val="24"/>
          <w:lang w:val="ru-RU"/>
        </w:rPr>
        <w:t>произво</w:t>
      </w:r>
      <w:proofErr w:type="gramStart"/>
      <w:r w:rsidRPr="00D82381">
        <w:rPr>
          <w:rFonts w:ascii="Times New Roman" w:hAnsi="Times New Roman"/>
          <w:sz w:val="24"/>
          <w:szCs w:val="24"/>
          <w:lang w:val="ru-RU"/>
        </w:rPr>
        <w:t>дств в стр</w:t>
      </w:r>
      <w:proofErr w:type="gramEnd"/>
      <w:r w:rsidRPr="00D82381">
        <w:rPr>
          <w:rFonts w:ascii="Times New Roman" w:hAnsi="Times New Roman"/>
          <w:sz w:val="24"/>
          <w:szCs w:val="24"/>
          <w:lang w:val="ru-RU"/>
        </w:rPr>
        <w:t>аны с отсутств</w:t>
      </w:r>
      <w:r>
        <w:rPr>
          <w:rFonts w:ascii="Times New Roman" w:hAnsi="Times New Roman"/>
          <w:sz w:val="24"/>
          <w:szCs w:val="24"/>
          <w:lang w:val="ru-RU"/>
        </w:rPr>
        <w:t>ием парникового регулирования.</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Смысл такой пошлины можно проиллюстрировать на примере российского законопроекта</w:t>
      </w:r>
      <w:r w:rsidRPr="00A16A69">
        <w:rPr>
          <w:rFonts w:ascii="Times New Roman" w:hAnsi="Times New Roman"/>
          <w:sz w:val="24"/>
          <w:szCs w:val="24"/>
          <w:lang w:val="ru-RU"/>
        </w:rPr>
        <w:t xml:space="preserve"> </w:t>
      </w:r>
      <w:r w:rsidRPr="00E3162D">
        <w:rPr>
          <w:rFonts w:ascii="Times New Roman" w:hAnsi="Times New Roman"/>
          <w:sz w:val="24"/>
          <w:szCs w:val="24"/>
          <w:lang w:val="ru-RU"/>
        </w:rPr>
        <w:t xml:space="preserve">"О внесении изменений в закон об отходах производства и потребления", в частности, предлагается установить </w:t>
      </w:r>
      <w:r>
        <w:rPr>
          <w:rFonts w:ascii="Times New Roman" w:hAnsi="Times New Roman"/>
          <w:sz w:val="24"/>
          <w:szCs w:val="24"/>
          <w:lang w:val="ru-RU"/>
        </w:rPr>
        <w:t>ответственность</w:t>
      </w:r>
      <w:r w:rsidRPr="00E3162D">
        <w:rPr>
          <w:rFonts w:ascii="Times New Roman" w:hAnsi="Times New Roman"/>
          <w:sz w:val="24"/>
          <w:szCs w:val="24"/>
          <w:lang w:val="ru-RU"/>
        </w:rPr>
        <w:t xml:space="preserve"> импортера продукции за утилизацию, обезвреживание или захоронение ввезенной продукции, утратившей потребительские свойства.</w:t>
      </w:r>
      <w:r>
        <w:rPr>
          <w:rFonts w:ascii="Times New Roman" w:hAnsi="Times New Roman"/>
          <w:sz w:val="24"/>
          <w:szCs w:val="24"/>
          <w:lang w:val="ru-RU"/>
        </w:rPr>
        <w:t xml:space="preserve"> По аналогии на импортера в страны с жестким квотированием парниковых выбросов (например, в страны Евросоюза) в принципе может быть возложена ответственность компенсировать «парниковое» содержание товара (то есть парниковые выбросы, образующиеся за пределами «парниковой» юрисдикции в процесс производства, транспортировки и потребления товара) соответствующим количеством </w:t>
      </w:r>
      <w:proofErr w:type="spellStart"/>
      <w:r>
        <w:rPr>
          <w:rFonts w:ascii="Times New Roman" w:hAnsi="Times New Roman"/>
          <w:sz w:val="24"/>
          <w:szCs w:val="24"/>
          <w:lang w:val="ru-RU"/>
        </w:rPr>
        <w:t>Евроквот</w:t>
      </w:r>
      <w:proofErr w:type="spellEnd"/>
      <w:r>
        <w:rPr>
          <w:rFonts w:ascii="Times New Roman" w:hAnsi="Times New Roman"/>
          <w:sz w:val="24"/>
          <w:szCs w:val="24"/>
          <w:lang w:val="ru-RU"/>
        </w:rPr>
        <w:t>. В меньшей степени в данном случае речь идет об эмиссиях, возникающих в процессе потребления. Они и так учтены или должны быть учтены в ЕТС, как учтены, например, выбросы, образующиеся в процессе потребления импортного газа, нефтепродуктов. Речь идет, прежде всего, о тех выбросах, которые образуются за пределами «парниковой» юрисдикции, например, за пределами Евросоюза, в России при производстве металла. Учет этих выбросов в цене импортного товара, причем по цене европейского рынка серьезно повлияет на его конкурентоспособность.</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Уже сейчас, в условиях отсутствия в России парникового регулирования, когда «парниковое» содержание товара никак не учитывается, целесообразно разработать варианты </w:t>
      </w:r>
      <w:proofErr w:type="spellStart"/>
      <w:r>
        <w:rPr>
          <w:rFonts w:ascii="Times New Roman" w:hAnsi="Times New Roman"/>
          <w:sz w:val="24"/>
          <w:szCs w:val="24"/>
          <w:lang w:val="ru-RU"/>
        </w:rPr>
        <w:t>углеродонейтральных</w:t>
      </w:r>
      <w:proofErr w:type="spellEnd"/>
      <w:r>
        <w:rPr>
          <w:rFonts w:ascii="Times New Roman" w:hAnsi="Times New Roman"/>
          <w:sz w:val="24"/>
          <w:szCs w:val="24"/>
          <w:lang w:val="ru-RU"/>
        </w:rPr>
        <w:t xml:space="preserve"> экспортных поставок, которые можно было бы предлагать покупателям как добровольную опцию. Принципиально важным при этом, однако, является необходимость обеспечить </w:t>
      </w:r>
      <w:proofErr w:type="spellStart"/>
      <w:r>
        <w:rPr>
          <w:rFonts w:ascii="Times New Roman" w:hAnsi="Times New Roman"/>
          <w:sz w:val="24"/>
          <w:szCs w:val="24"/>
          <w:lang w:val="ru-RU"/>
        </w:rPr>
        <w:t>углеродонейтральность</w:t>
      </w:r>
      <w:proofErr w:type="spellEnd"/>
      <w:r>
        <w:rPr>
          <w:rFonts w:ascii="Times New Roman" w:hAnsi="Times New Roman"/>
          <w:sz w:val="24"/>
          <w:szCs w:val="24"/>
          <w:lang w:val="ru-RU"/>
        </w:rPr>
        <w:t xml:space="preserve"> кредитами со всеми пятью его имманентными характеристиками, а именно: постоянство, избыточность, </w:t>
      </w:r>
      <w:proofErr w:type="spellStart"/>
      <w:r>
        <w:rPr>
          <w:rFonts w:ascii="Times New Roman" w:hAnsi="Times New Roman"/>
          <w:sz w:val="24"/>
          <w:szCs w:val="24"/>
          <w:lang w:val="ru-RU"/>
        </w:rPr>
        <w:t>подтвержденность</w:t>
      </w:r>
      <w:proofErr w:type="spellEnd"/>
      <w:r>
        <w:rPr>
          <w:rFonts w:ascii="Times New Roman" w:hAnsi="Times New Roman"/>
          <w:sz w:val="24"/>
          <w:szCs w:val="24"/>
          <w:lang w:val="ru-RU"/>
        </w:rPr>
        <w:t xml:space="preserve">, реальность, </w:t>
      </w:r>
      <w:proofErr w:type="spellStart"/>
      <w:r>
        <w:rPr>
          <w:rFonts w:ascii="Times New Roman" w:hAnsi="Times New Roman"/>
          <w:sz w:val="24"/>
          <w:szCs w:val="24"/>
          <w:lang w:val="ru-RU"/>
        </w:rPr>
        <w:t>проверяемость</w:t>
      </w:r>
      <w:proofErr w:type="spellEnd"/>
      <w:r>
        <w:rPr>
          <w:rFonts w:ascii="Times New Roman" w:hAnsi="Times New Roman"/>
          <w:sz w:val="24"/>
          <w:szCs w:val="24"/>
          <w:lang w:val="ru-RU"/>
        </w:rPr>
        <w:t>. Это еще один вариант организации административного эксперимента с кредитами на выбросы.</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Такого рода эксперимент может быть предложен Европейскому союзу для промежуточного решения проблемы с включением в ЕТС российской гражданской авиации. </w:t>
      </w:r>
      <w:proofErr w:type="gramStart"/>
      <w:r>
        <w:rPr>
          <w:rFonts w:ascii="Times New Roman" w:hAnsi="Times New Roman"/>
          <w:sz w:val="24"/>
          <w:szCs w:val="24"/>
          <w:lang w:val="ru-RU"/>
        </w:rPr>
        <w:t xml:space="preserve">В настоящий момент существует два препятствия для реализации этого предложения: во-первых, такие кредиты могут входить в ЕТС из России только в виде ЕСВ, срок действия которых на данный момент ограничен 2012 годом, во-вторых,  </w:t>
      </w:r>
      <w:r w:rsidRPr="004D4384">
        <w:rPr>
          <w:rFonts w:ascii="Times New Roman" w:hAnsi="Times New Roman"/>
          <w:sz w:val="24"/>
          <w:szCs w:val="24"/>
          <w:lang w:val="ru-RU"/>
        </w:rPr>
        <w:t>Директива 2008/101/</w:t>
      </w:r>
      <w:proofErr w:type="spellStart"/>
      <w:r w:rsidRPr="004D4384">
        <w:rPr>
          <w:rFonts w:ascii="Times New Roman" w:hAnsi="Times New Roman"/>
          <w:sz w:val="24"/>
          <w:szCs w:val="24"/>
          <w:lang w:val="ru-RU"/>
        </w:rPr>
        <w:t>EC</w:t>
      </w:r>
      <w:proofErr w:type="spellEnd"/>
      <w:r w:rsidRPr="004D4384">
        <w:rPr>
          <w:rFonts w:ascii="Times New Roman" w:hAnsi="Times New Roman"/>
          <w:sz w:val="24"/>
          <w:szCs w:val="24"/>
          <w:lang w:val="ru-RU"/>
        </w:rPr>
        <w:t xml:space="preserve"> от 19/11/2008</w:t>
      </w:r>
      <w:r>
        <w:rPr>
          <w:rFonts w:ascii="Times New Roman" w:hAnsi="Times New Roman"/>
          <w:sz w:val="24"/>
          <w:szCs w:val="24"/>
          <w:lang w:val="ru-RU"/>
        </w:rPr>
        <w:t xml:space="preserve"> ограничивает использование кредитов в среднем 15% (от того объема, которые авиакомпании будут покупать сверх бесплатно выделенной квоты).</w:t>
      </w:r>
      <w:proofErr w:type="gramEnd"/>
      <w:r>
        <w:rPr>
          <w:rFonts w:ascii="Times New Roman" w:hAnsi="Times New Roman"/>
          <w:sz w:val="24"/>
          <w:szCs w:val="24"/>
          <w:lang w:val="ru-RU"/>
        </w:rPr>
        <w:t xml:space="preserve"> При этом ответственность за принятие такого рода решений лежит на стране – члене ЕС, в чью квоту входят выбросы конкретной авиакомпании.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Представляется, что этот случай можно использовать лишь в качестве примера или </w:t>
      </w:r>
      <w:proofErr w:type="spellStart"/>
      <w:r>
        <w:rPr>
          <w:rFonts w:ascii="Times New Roman" w:hAnsi="Times New Roman"/>
          <w:sz w:val="24"/>
          <w:szCs w:val="24"/>
          <w:lang w:val="ru-RU"/>
        </w:rPr>
        <w:t>пилотного</w:t>
      </w:r>
      <w:proofErr w:type="spellEnd"/>
      <w:r>
        <w:rPr>
          <w:rFonts w:ascii="Times New Roman" w:hAnsi="Times New Roman"/>
          <w:sz w:val="24"/>
          <w:szCs w:val="24"/>
          <w:lang w:val="ru-RU"/>
        </w:rPr>
        <w:t xml:space="preserve"> предложения в более широком контексте движения к </w:t>
      </w:r>
      <w:proofErr w:type="spellStart"/>
      <w:r>
        <w:rPr>
          <w:rFonts w:ascii="Times New Roman" w:hAnsi="Times New Roman"/>
          <w:sz w:val="24"/>
          <w:szCs w:val="24"/>
          <w:lang w:val="ru-RU"/>
        </w:rPr>
        <w:t>углеродонейтральности</w:t>
      </w:r>
      <w:proofErr w:type="spellEnd"/>
      <w:r>
        <w:rPr>
          <w:rFonts w:ascii="Times New Roman" w:hAnsi="Times New Roman"/>
          <w:sz w:val="24"/>
          <w:szCs w:val="24"/>
          <w:lang w:val="ru-RU"/>
        </w:rPr>
        <w:t xml:space="preserve"> российского экспорта в целом. </w:t>
      </w:r>
    </w:p>
    <w:p w:rsidR="007D6401" w:rsidRDefault="007D6401" w:rsidP="007D6401">
      <w:pPr>
        <w:spacing w:after="120"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 xml:space="preserve">По очень грубой оценке, углеродоемкость российского экспорта составляет 0.004 т/доллар США (и оказывается примерно равной углеродоемкости российского ВНП), т.е. в процентном отношении при минимальной цене </w:t>
      </w:r>
      <w:r w:rsidRPr="00D37054">
        <w:rPr>
          <w:rFonts w:ascii="Times New Roman" w:hAnsi="Times New Roman"/>
          <w:sz w:val="24"/>
          <w:szCs w:val="24"/>
          <w:lang w:val="ru-RU"/>
        </w:rPr>
        <w:t xml:space="preserve">12 - </w:t>
      </w:r>
      <w:r>
        <w:rPr>
          <w:rFonts w:ascii="Times New Roman" w:hAnsi="Times New Roman"/>
          <w:sz w:val="24"/>
          <w:szCs w:val="24"/>
          <w:lang w:val="ru-RU"/>
        </w:rPr>
        <w:t>13 долларов за 1 т С</w:t>
      </w:r>
      <w:r>
        <w:rPr>
          <w:rFonts w:ascii="Times New Roman" w:hAnsi="Times New Roman"/>
          <w:sz w:val="24"/>
          <w:szCs w:val="24"/>
        </w:rPr>
        <w:t>O</w:t>
      </w:r>
      <w:r w:rsidRPr="00D37054">
        <w:rPr>
          <w:rFonts w:ascii="Times New Roman" w:hAnsi="Times New Roman"/>
          <w:sz w:val="24"/>
          <w:szCs w:val="24"/>
          <w:lang w:val="ru-RU"/>
        </w:rPr>
        <w:t>2-</w:t>
      </w:r>
      <w:r>
        <w:rPr>
          <w:rFonts w:ascii="Times New Roman" w:hAnsi="Times New Roman"/>
          <w:sz w:val="24"/>
          <w:szCs w:val="24"/>
        </w:rPr>
        <w:t>e</w:t>
      </w:r>
      <w:r w:rsidRPr="00D37054">
        <w:rPr>
          <w:rFonts w:ascii="Times New Roman" w:hAnsi="Times New Roman"/>
          <w:sz w:val="24"/>
          <w:szCs w:val="24"/>
          <w:lang w:val="ru-RU"/>
        </w:rPr>
        <w:t xml:space="preserve">, </w:t>
      </w:r>
      <w:r>
        <w:rPr>
          <w:rFonts w:ascii="Times New Roman" w:hAnsi="Times New Roman"/>
          <w:sz w:val="24"/>
          <w:szCs w:val="24"/>
          <w:lang w:val="ru-RU"/>
        </w:rPr>
        <w:t xml:space="preserve">около 5%. А если брать в расчет прогнозные цены европейского рынка, то этот показатель окажется </w:t>
      </w:r>
      <w:r>
        <w:rPr>
          <w:rFonts w:ascii="Times New Roman" w:hAnsi="Times New Roman"/>
          <w:sz w:val="24"/>
          <w:szCs w:val="24"/>
          <w:lang w:val="ru-RU"/>
        </w:rPr>
        <w:lastRenderedPageBreak/>
        <w:t>существенно выше.</w:t>
      </w:r>
      <w:proofErr w:type="gramEnd"/>
      <w:r>
        <w:rPr>
          <w:rFonts w:ascii="Times New Roman" w:hAnsi="Times New Roman"/>
          <w:sz w:val="24"/>
          <w:szCs w:val="24"/>
          <w:lang w:val="ru-RU"/>
        </w:rPr>
        <w:t xml:space="preserve"> Учет цены углерода в торговом балансе, например, России с Германией меняет его знак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отрицательного на положительный. </w:t>
      </w:r>
    </w:p>
    <w:p w:rsidR="007D6401" w:rsidRPr="00D17CFB"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Вполне реалистичные перспективы создания национальных систем квотирования парниковых выбросов в «ближнем» зарубежье ставит вопрос о сопряжении этих систем и о формах российского участия в таких механизмах. Предложение со стороны России учитывать и компенсировать углеродный компонент во внешнеторговых операциях со своими ближайшими соседями выведет Россию в лидеры процесса, а главное, поставит его на максимально практичные и реалистичные рельсы.</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Пограничные меры, таким образом, представляются совершенно неизбежными. Как сегодня ограничен импорт товаров, произведенных с применением детского или рабского труда, так будет ограничен и импорт товаров с применением отсталых, углеродоемких технологий. Другое дело, что форма ограничений может быть весьма разнообразной. Если импортные пошлины на углеродное содержание продукта в ряде случаев уже введены, то пошлин на углеродное содержание производства товаров еще нет. Причем возмещение цены углеродного содержания производства может гипотетически осуществляться и в форме обязательства закупать соответствующее количество квот на рынке импортера.</w:t>
      </w:r>
    </w:p>
    <w:p w:rsidR="007D6401" w:rsidRPr="00E34DC0" w:rsidRDefault="007D6401" w:rsidP="007D6401">
      <w:pPr>
        <w:spacing w:after="120" w:line="240" w:lineRule="auto"/>
        <w:ind w:firstLine="567"/>
        <w:jc w:val="both"/>
        <w:rPr>
          <w:rFonts w:ascii="Times New Roman" w:hAnsi="Times New Roman"/>
          <w:sz w:val="24"/>
          <w:szCs w:val="24"/>
          <w:u w:val="single"/>
          <w:lang w:val="ru-RU"/>
        </w:rPr>
      </w:pPr>
      <w:r w:rsidRPr="00E34DC0">
        <w:rPr>
          <w:rFonts w:ascii="Times New Roman" w:hAnsi="Times New Roman"/>
          <w:sz w:val="24"/>
          <w:szCs w:val="24"/>
          <w:u w:val="single"/>
          <w:lang w:val="ru-RU"/>
        </w:rPr>
        <w:t>В целом, существует два сильнейших мотива для введения таких мер:</w:t>
      </w:r>
    </w:p>
    <w:p w:rsidR="007D6401" w:rsidRDefault="007D6401" w:rsidP="007D6401">
      <w:pPr>
        <w:numPr>
          <w:ilvl w:val="0"/>
          <w:numId w:val="17"/>
        </w:numPr>
        <w:spacing w:after="120" w:line="240" w:lineRule="auto"/>
        <w:jc w:val="both"/>
        <w:rPr>
          <w:rFonts w:ascii="Times New Roman" w:hAnsi="Times New Roman"/>
          <w:sz w:val="24"/>
          <w:szCs w:val="24"/>
          <w:lang w:val="ru-RU"/>
        </w:rPr>
      </w:pPr>
      <w:r>
        <w:rPr>
          <w:rFonts w:ascii="Times New Roman" w:hAnsi="Times New Roman"/>
          <w:sz w:val="24"/>
          <w:szCs w:val="24"/>
          <w:lang w:val="ru-RU"/>
        </w:rPr>
        <w:t>Защита внутреннего рынка от «углеродного демпинга»;</w:t>
      </w:r>
    </w:p>
    <w:p w:rsidR="007D6401" w:rsidRDefault="007D6401" w:rsidP="007D6401">
      <w:pPr>
        <w:numPr>
          <w:ilvl w:val="0"/>
          <w:numId w:val="17"/>
        </w:numPr>
        <w:spacing w:after="120" w:line="240" w:lineRule="auto"/>
        <w:jc w:val="both"/>
        <w:rPr>
          <w:rFonts w:ascii="Times New Roman" w:hAnsi="Times New Roman"/>
          <w:sz w:val="24"/>
          <w:szCs w:val="24"/>
          <w:lang w:val="ru-RU"/>
        </w:rPr>
      </w:pPr>
      <w:r>
        <w:rPr>
          <w:rFonts w:ascii="Times New Roman" w:hAnsi="Times New Roman"/>
          <w:sz w:val="24"/>
          <w:szCs w:val="24"/>
          <w:lang w:val="ru-RU"/>
        </w:rPr>
        <w:t>Косвенное давление на страны – экспортеры с тем, чтобы они развивали собственные внутренние системы «парникового регулирования».</w:t>
      </w:r>
    </w:p>
    <w:p w:rsidR="007D6401" w:rsidRDefault="007D6401" w:rsidP="007D6401">
      <w:pPr>
        <w:spacing w:after="120" w:line="240" w:lineRule="auto"/>
        <w:ind w:firstLine="567"/>
        <w:jc w:val="both"/>
        <w:rPr>
          <w:rFonts w:ascii="Times New Roman" w:hAnsi="Times New Roman"/>
          <w:sz w:val="24"/>
          <w:szCs w:val="24"/>
          <w:u w:val="single"/>
          <w:lang w:val="ru-RU"/>
        </w:rPr>
      </w:pPr>
      <w:r w:rsidRPr="00C953AC">
        <w:rPr>
          <w:rFonts w:ascii="Times New Roman" w:hAnsi="Times New Roman"/>
          <w:sz w:val="24"/>
          <w:szCs w:val="24"/>
          <w:u w:val="single"/>
          <w:lang w:val="ru-RU"/>
        </w:rPr>
        <w:t xml:space="preserve">В качестве </w:t>
      </w:r>
      <w:proofErr w:type="gramStart"/>
      <w:r w:rsidRPr="00C953AC">
        <w:rPr>
          <w:rFonts w:ascii="Times New Roman" w:hAnsi="Times New Roman"/>
          <w:sz w:val="24"/>
          <w:szCs w:val="24"/>
          <w:u w:val="single"/>
          <w:lang w:val="ru-RU"/>
        </w:rPr>
        <w:t>стратегической инициативы, предупреждающей риск такого развития событий может</w:t>
      </w:r>
      <w:proofErr w:type="gramEnd"/>
      <w:r w:rsidRPr="00C953AC">
        <w:rPr>
          <w:rFonts w:ascii="Times New Roman" w:hAnsi="Times New Roman"/>
          <w:sz w:val="24"/>
          <w:szCs w:val="24"/>
          <w:u w:val="single"/>
          <w:lang w:val="ru-RU"/>
        </w:rPr>
        <w:t xml:space="preserve"> выступить предложение создать механизм </w:t>
      </w:r>
      <w:r>
        <w:rPr>
          <w:rFonts w:ascii="Times New Roman" w:hAnsi="Times New Roman"/>
          <w:sz w:val="24"/>
          <w:szCs w:val="24"/>
          <w:u w:val="single"/>
          <w:lang w:val="ru-RU"/>
        </w:rPr>
        <w:t>«</w:t>
      </w:r>
      <w:proofErr w:type="spellStart"/>
      <w:r w:rsidRPr="00C953AC">
        <w:rPr>
          <w:rFonts w:ascii="Times New Roman" w:hAnsi="Times New Roman"/>
          <w:sz w:val="24"/>
          <w:szCs w:val="24"/>
          <w:u w:val="single"/>
          <w:lang w:val="ru-RU"/>
        </w:rPr>
        <w:t>углеродонейтрального</w:t>
      </w:r>
      <w:proofErr w:type="spellEnd"/>
      <w:r>
        <w:rPr>
          <w:rFonts w:ascii="Times New Roman" w:hAnsi="Times New Roman"/>
          <w:sz w:val="24"/>
          <w:szCs w:val="24"/>
          <w:u w:val="single"/>
          <w:lang w:val="ru-RU"/>
        </w:rPr>
        <w:t>»</w:t>
      </w:r>
      <w:r w:rsidRPr="00C953AC">
        <w:rPr>
          <w:rFonts w:ascii="Times New Roman" w:hAnsi="Times New Roman"/>
          <w:sz w:val="24"/>
          <w:szCs w:val="24"/>
          <w:u w:val="single"/>
          <w:lang w:val="ru-RU"/>
        </w:rPr>
        <w:t xml:space="preserve"> или даже «</w:t>
      </w:r>
      <w:proofErr w:type="spellStart"/>
      <w:r w:rsidRPr="00C953AC">
        <w:rPr>
          <w:rFonts w:ascii="Times New Roman" w:hAnsi="Times New Roman"/>
          <w:sz w:val="24"/>
          <w:szCs w:val="24"/>
          <w:u w:val="single"/>
          <w:lang w:val="ru-RU"/>
        </w:rPr>
        <w:t>углеродоотрицательного</w:t>
      </w:r>
      <w:proofErr w:type="spellEnd"/>
      <w:r w:rsidRPr="00C953AC">
        <w:rPr>
          <w:rFonts w:ascii="Times New Roman" w:hAnsi="Times New Roman"/>
          <w:sz w:val="24"/>
          <w:szCs w:val="24"/>
          <w:u w:val="single"/>
          <w:lang w:val="ru-RU"/>
        </w:rPr>
        <w:t>» экспорта, то есть поставка</w:t>
      </w:r>
      <w:r>
        <w:rPr>
          <w:rFonts w:ascii="Times New Roman" w:hAnsi="Times New Roman"/>
          <w:sz w:val="24"/>
          <w:szCs w:val="24"/>
          <w:u w:val="single"/>
          <w:lang w:val="ru-RU"/>
        </w:rPr>
        <w:t xml:space="preserve"> на экспорт</w:t>
      </w:r>
      <w:r w:rsidRPr="00C953AC">
        <w:rPr>
          <w:rFonts w:ascii="Times New Roman" w:hAnsi="Times New Roman"/>
          <w:sz w:val="24"/>
          <w:szCs w:val="24"/>
          <w:u w:val="single"/>
          <w:lang w:val="ru-RU"/>
        </w:rPr>
        <w:t xml:space="preserve"> такого товара, производство которого компенсируется кредитами с избытком.</w:t>
      </w:r>
    </w:p>
    <w:p w:rsidR="007D6401" w:rsidRPr="00C953AC" w:rsidRDefault="007D6401" w:rsidP="007D6401">
      <w:pPr>
        <w:spacing w:after="120" w:line="240" w:lineRule="auto"/>
        <w:ind w:firstLine="567"/>
        <w:jc w:val="both"/>
        <w:rPr>
          <w:rFonts w:ascii="Times New Roman" w:hAnsi="Times New Roman"/>
          <w:sz w:val="24"/>
          <w:szCs w:val="24"/>
          <w:u w:val="single"/>
          <w:lang w:val="ru-RU"/>
        </w:rPr>
      </w:pPr>
    </w:p>
    <w:p w:rsidR="007D6401" w:rsidRDefault="007D6401" w:rsidP="007D6401">
      <w:pPr>
        <w:pStyle w:val="2"/>
        <w:rPr>
          <w:rFonts w:ascii="Times New Roman" w:hAnsi="Times New Roman"/>
          <w:color w:val="auto"/>
          <w:lang w:val="ru-RU"/>
        </w:rPr>
      </w:pPr>
      <w:r>
        <w:rPr>
          <w:rFonts w:ascii="Times New Roman" w:hAnsi="Times New Roman"/>
          <w:color w:val="auto"/>
          <w:lang w:val="ru-RU"/>
        </w:rPr>
        <w:t>О</w:t>
      </w:r>
      <w:r w:rsidRPr="000A5002">
        <w:rPr>
          <w:rFonts w:ascii="Times New Roman" w:hAnsi="Times New Roman"/>
          <w:color w:val="auto"/>
          <w:lang w:val="ru-RU"/>
        </w:rPr>
        <w:t xml:space="preserve">ценки </w:t>
      </w:r>
      <w:r>
        <w:rPr>
          <w:rFonts w:ascii="Times New Roman" w:hAnsi="Times New Roman"/>
          <w:color w:val="auto"/>
          <w:lang w:val="ru-RU"/>
        </w:rPr>
        <w:t>о</w:t>
      </w:r>
      <w:r w:rsidRPr="000A5002">
        <w:rPr>
          <w:rFonts w:ascii="Times New Roman" w:hAnsi="Times New Roman"/>
          <w:color w:val="auto"/>
          <w:lang w:val="ru-RU"/>
        </w:rPr>
        <w:t>траслевые рисков</w:t>
      </w:r>
    </w:p>
    <w:p w:rsidR="007D6401" w:rsidRPr="0067587B" w:rsidRDefault="007D6401" w:rsidP="007D6401">
      <w:pPr>
        <w:rPr>
          <w:lang w:val="ru-RU"/>
        </w:rPr>
      </w:pPr>
    </w:p>
    <w:p w:rsidR="007D6401" w:rsidRPr="000A5002"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t>Гражданская авиация</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В Европейском Союзе принято и планируется к принятию несколько решений, непосредственно касающихся эмиссии парниковых газов странами и источниками, не входящими в рамки Союза.  Часть из них (</w:t>
      </w:r>
      <w:proofErr w:type="spellStart"/>
      <w:r w:rsidRPr="004D4384">
        <w:rPr>
          <w:rFonts w:ascii="Times New Roman" w:hAnsi="Times New Roman"/>
          <w:sz w:val="24"/>
          <w:szCs w:val="24"/>
          <w:lang w:val="ru-RU"/>
        </w:rPr>
        <w:t>Directive</w:t>
      </w:r>
      <w:proofErr w:type="spellEnd"/>
      <w:r w:rsidRPr="004D4384">
        <w:rPr>
          <w:rFonts w:ascii="Times New Roman" w:hAnsi="Times New Roman"/>
          <w:sz w:val="24"/>
          <w:szCs w:val="24"/>
          <w:lang w:val="ru-RU"/>
        </w:rPr>
        <w:t xml:space="preserve"> 2004/101/</w:t>
      </w:r>
      <w:proofErr w:type="spellStart"/>
      <w:r w:rsidRPr="004D4384">
        <w:rPr>
          <w:rFonts w:ascii="Times New Roman" w:hAnsi="Times New Roman"/>
          <w:sz w:val="24"/>
          <w:szCs w:val="24"/>
          <w:lang w:val="ru-RU"/>
        </w:rPr>
        <w:t>EC</w:t>
      </w:r>
      <w:proofErr w:type="spellEnd"/>
      <w:r w:rsidRPr="004D4384">
        <w:rPr>
          <w:rFonts w:ascii="Times New Roman" w:hAnsi="Times New Roman"/>
          <w:sz w:val="24"/>
          <w:szCs w:val="24"/>
          <w:lang w:val="ru-RU"/>
        </w:rPr>
        <w:t xml:space="preserve"> от 27/10/2004, </w:t>
      </w:r>
      <w:proofErr w:type="spellStart"/>
      <w:r w:rsidRPr="004D4384">
        <w:rPr>
          <w:rFonts w:ascii="Times New Roman" w:hAnsi="Times New Roman"/>
          <w:sz w:val="24"/>
          <w:szCs w:val="24"/>
          <w:lang w:val="ru-RU"/>
        </w:rPr>
        <w:t>Decision</w:t>
      </w:r>
      <w:proofErr w:type="spellEnd"/>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No</w:t>
      </w:r>
      <w:proofErr w:type="spellEnd"/>
      <w:r w:rsidRPr="004D4384">
        <w:rPr>
          <w:rFonts w:ascii="Times New Roman" w:hAnsi="Times New Roman"/>
          <w:sz w:val="24"/>
          <w:szCs w:val="24"/>
          <w:lang w:val="ru-RU"/>
        </w:rPr>
        <w:t xml:space="preserve"> 406/2009/</w:t>
      </w:r>
      <w:proofErr w:type="spellStart"/>
      <w:r w:rsidRPr="004D4384">
        <w:rPr>
          <w:rFonts w:ascii="Times New Roman" w:hAnsi="Times New Roman"/>
          <w:sz w:val="24"/>
          <w:szCs w:val="24"/>
          <w:lang w:val="ru-RU"/>
        </w:rPr>
        <w:t>EC</w:t>
      </w:r>
      <w:proofErr w:type="spellEnd"/>
      <w:r w:rsidRPr="004D4384">
        <w:rPr>
          <w:rFonts w:ascii="Times New Roman" w:hAnsi="Times New Roman"/>
          <w:sz w:val="24"/>
          <w:szCs w:val="24"/>
          <w:lang w:val="ru-RU"/>
        </w:rPr>
        <w:t xml:space="preserve"> от 23/04/2009) имеет разрешительный характер и формулирует условия допуска на европейский рынок квот и кредитов извне Европейского Союза.  Директива 2008/101/</w:t>
      </w:r>
      <w:proofErr w:type="spellStart"/>
      <w:r w:rsidRPr="004D4384">
        <w:rPr>
          <w:rFonts w:ascii="Times New Roman" w:hAnsi="Times New Roman"/>
          <w:sz w:val="24"/>
          <w:szCs w:val="24"/>
          <w:lang w:val="ru-RU"/>
        </w:rPr>
        <w:t>EC</w:t>
      </w:r>
      <w:proofErr w:type="spellEnd"/>
      <w:r w:rsidRPr="004D4384">
        <w:rPr>
          <w:rFonts w:ascii="Times New Roman" w:hAnsi="Times New Roman"/>
          <w:sz w:val="24"/>
          <w:szCs w:val="24"/>
          <w:lang w:val="ru-RU"/>
        </w:rPr>
        <w:t xml:space="preserve"> от 19/11/2008 распространяет обязательства ЕС по ограничению выбросов парниковых газов на гражданскую авиацию и вводит авиакомпании, совершающие полеты через территорию стран Евросоюза,  в число субъектов европейского рынка с 2012 года. Уже сейчас авиаперевозчики должны обеспечить полеты через территорию стран Евросоюза в 2012 году соответствующими разрешениями.</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В целях включения авиации в Европейскую систему торговли был рассчитан средний показатель ежегодной парниковой эмиссии воздушных судов, прибывающих в европейские аэропорты и покидающие их. По данным за 2004 – 2005 годы в среднем ежегодно выбрасывалось 219,476,343 тонн углекислого газа.  Отсюда общий объем разрешений для авиации на 2012 был установлен в объеме 212,892,052 тонн (97% от исходного уровня), а для 2013 года 208,502,525 тонн (95% от исходного уровня).</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82% разрешений выдаются авиаперевозчикам бесплатно, 15% они должны приобретать на аукционах, 3% резервируется для быстро развивающихся авиалиний и </w:t>
      </w:r>
      <w:r w:rsidRPr="004D4384">
        <w:rPr>
          <w:rFonts w:ascii="Times New Roman" w:hAnsi="Times New Roman"/>
          <w:sz w:val="24"/>
          <w:szCs w:val="24"/>
          <w:lang w:val="ru-RU"/>
        </w:rPr>
        <w:lastRenderedPageBreak/>
        <w:t xml:space="preserve">новых участников рынка. Все иностранные авиаперевозчики и их выбросы закрепляются за конкретными членами ЕС, которые и отвечают за выполнение ими обязательств. В случае нарушения условий и обязательств может последовать запрет на полеты через страны Евросоюза.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Средства, вырученные на аукционах государства – члены ЕС намерены направлять  на реализацию мер по снижению парниковых выбросов на транспорте. Однако</w:t>
      </w:r>
      <w:proofErr w:type="gramStart"/>
      <w:r w:rsidRPr="004D4384">
        <w:rPr>
          <w:rFonts w:ascii="Times New Roman" w:hAnsi="Times New Roman"/>
          <w:sz w:val="24"/>
          <w:szCs w:val="24"/>
          <w:lang w:val="ru-RU"/>
        </w:rPr>
        <w:t>,</w:t>
      </w:r>
      <w:proofErr w:type="gramEnd"/>
      <w:r w:rsidRPr="004D4384">
        <w:rPr>
          <w:rFonts w:ascii="Times New Roman" w:hAnsi="Times New Roman"/>
          <w:sz w:val="24"/>
          <w:szCs w:val="24"/>
          <w:lang w:val="ru-RU"/>
        </w:rPr>
        <w:t xml:space="preserve"> это намерение носит декларативный характер и никаких конкретных обязательств по использованию средств, полученных на аукционах, ЕС не берет. </w:t>
      </w:r>
    </w:p>
    <w:p w:rsidR="007D6401" w:rsidRPr="004D4384" w:rsidRDefault="007D6401" w:rsidP="007D6401">
      <w:pPr>
        <w:spacing w:after="120" w:line="240" w:lineRule="auto"/>
        <w:ind w:firstLine="567"/>
        <w:jc w:val="both"/>
        <w:rPr>
          <w:rFonts w:ascii="Times New Roman" w:hAnsi="Times New Roman"/>
          <w:sz w:val="24"/>
          <w:szCs w:val="24"/>
          <w:lang w:val="ru-RU"/>
        </w:rPr>
      </w:pPr>
      <w:proofErr w:type="gramStart"/>
      <w:r w:rsidRPr="004D4384">
        <w:rPr>
          <w:rFonts w:ascii="Times New Roman" w:hAnsi="Times New Roman"/>
          <w:sz w:val="24"/>
          <w:szCs w:val="24"/>
          <w:lang w:val="ru-RU"/>
        </w:rPr>
        <w:t xml:space="preserve">Введение особого инструмента для авиации </w:t>
      </w:r>
      <w:proofErr w:type="spellStart"/>
      <w:r w:rsidRPr="004D4384">
        <w:rPr>
          <w:rFonts w:ascii="Times New Roman" w:hAnsi="Times New Roman"/>
          <w:sz w:val="24"/>
          <w:szCs w:val="24"/>
          <w:lang w:val="ru-RU"/>
        </w:rPr>
        <w:t>EU</w:t>
      </w:r>
      <w:proofErr w:type="spellEnd"/>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Aviation</w:t>
      </w:r>
      <w:proofErr w:type="spellEnd"/>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Allowances</w:t>
      </w:r>
      <w:proofErr w:type="spellEnd"/>
      <w:r w:rsidRPr="004D4384">
        <w:rPr>
          <w:rFonts w:ascii="Times New Roman" w:hAnsi="Times New Roman"/>
          <w:sz w:val="24"/>
          <w:szCs w:val="24"/>
          <w:lang w:val="ru-RU"/>
        </w:rPr>
        <w:t xml:space="preserve"> (</w:t>
      </w:r>
      <w:proofErr w:type="spellStart"/>
      <w:r w:rsidRPr="004D4384">
        <w:rPr>
          <w:rFonts w:ascii="Times New Roman" w:hAnsi="Times New Roman"/>
          <w:sz w:val="24"/>
          <w:szCs w:val="24"/>
          <w:lang w:val="ru-RU"/>
        </w:rPr>
        <w:t>EUAA</w:t>
      </w:r>
      <w:proofErr w:type="spellEnd"/>
      <w:r w:rsidRPr="004D4384">
        <w:rPr>
          <w:rFonts w:ascii="Times New Roman" w:hAnsi="Times New Roman"/>
          <w:sz w:val="24"/>
          <w:szCs w:val="24"/>
          <w:lang w:val="ru-RU"/>
        </w:rPr>
        <w:t>) через государственные аукционы, фактический запрет на использование этих единиц другими секторами, жесткое ограничение возможности использовать компенсационные кредиты - CER, ERU 15-ю процентами от 15 % квот, закупаемых на аукционах, отсутствие запрета на введение других сборов, налогов и пошлин на парниковые выбросы отдельными странами – членами ЕС, - все это нарушает самые основы устройства рынка атмосферных</w:t>
      </w:r>
      <w:proofErr w:type="gramEnd"/>
      <w:r w:rsidRPr="004D4384">
        <w:rPr>
          <w:rFonts w:ascii="Times New Roman" w:hAnsi="Times New Roman"/>
          <w:sz w:val="24"/>
          <w:szCs w:val="24"/>
          <w:lang w:val="ru-RU"/>
        </w:rPr>
        <w:t xml:space="preserve"> эмиссий.   </w:t>
      </w:r>
    </w:p>
    <w:p w:rsidR="007D6401" w:rsidRDefault="007D6401" w:rsidP="007D6401">
      <w:pPr>
        <w:spacing w:after="120" w:line="240" w:lineRule="auto"/>
        <w:ind w:firstLine="567"/>
        <w:jc w:val="both"/>
        <w:rPr>
          <w:rFonts w:ascii="Times New Roman" w:hAnsi="Times New Roman"/>
          <w:sz w:val="24"/>
          <w:szCs w:val="24"/>
          <w:lang w:val="ru-RU"/>
        </w:rPr>
      </w:pPr>
      <w:proofErr w:type="gramStart"/>
      <w:r w:rsidRPr="004D4384">
        <w:rPr>
          <w:rFonts w:ascii="Times New Roman" w:hAnsi="Times New Roman"/>
          <w:sz w:val="24"/>
          <w:szCs w:val="24"/>
          <w:lang w:val="ru-RU"/>
        </w:rPr>
        <w:t xml:space="preserve">По оценкам </w:t>
      </w:r>
      <w:proofErr w:type="spellStart"/>
      <w:r w:rsidRPr="004D4384">
        <w:rPr>
          <w:rFonts w:ascii="Times New Roman" w:hAnsi="Times New Roman"/>
          <w:sz w:val="24"/>
          <w:szCs w:val="24"/>
          <w:lang w:val="ru-RU"/>
        </w:rPr>
        <w:t>Люфтганзы</w:t>
      </w:r>
      <w:proofErr w:type="spellEnd"/>
      <w:r w:rsidRPr="004D4384">
        <w:rPr>
          <w:rFonts w:ascii="Times New Roman" w:hAnsi="Times New Roman"/>
          <w:sz w:val="24"/>
          <w:szCs w:val="24"/>
          <w:lang w:val="ru-RU"/>
        </w:rPr>
        <w:t>, быстрый рост объема авиаперевозок, в сравнении с базовыми 2003, 2004 гг., ведет к тому, что авиакомпании будут вынуждены закупать не 15, а 30-40 процентов необходимой им квоты.</w:t>
      </w:r>
      <w:proofErr w:type="gramEnd"/>
      <w:r w:rsidRPr="004D4384">
        <w:rPr>
          <w:rFonts w:ascii="Times New Roman" w:hAnsi="Times New Roman"/>
          <w:sz w:val="24"/>
          <w:szCs w:val="24"/>
          <w:lang w:val="ru-RU"/>
        </w:rPr>
        <w:t xml:space="preserve"> В примере  с </w:t>
      </w:r>
      <w:proofErr w:type="spellStart"/>
      <w:r w:rsidRPr="004D4384">
        <w:rPr>
          <w:rFonts w:ascii="Times New Roman" w:hAnsi="Times New Roman"/>
          <w:sz w:val="24"/>
          <w:szCs w:val="24"/>
          <w:lang w:val="ru-RU"/>
        </w:rPr>
        <w:t>Люфтганзой</w:t>
      </w:r>
      <w:proofErr w:type="spellEnd"/>
      <w:r w:rsidRPr="004D4384">
        <w:rPr>
          <w:rFonts w:ascii="Times New Roman" w:hAnsi="Times New Roman"/>
          <w:sz w:val="24"/>
          <w:szCs w:val="24"/>
          <w:lang w:val="ru-RU"/>
        </w:rPr>
        <w:t xml:space="preserve"> этой будет стоить до 350 млн. Евро, фактически произвольно изымаемых на неизвестные нужды.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По данным </w:t>
      </w:r>
      <w:r>
        <w:rPr>
          <w:rFonts w:ascii="Times New Roman" w:hAnsi="Times New Roman"/>
          <w:sz w:val="24"/>
          <w:szCs w:val="24"/>
          <w:lang w:val="ru-RU"/>
        </w:rPr>
        <w:t>Минтранса</w:t>
      </w:r>
      <w:r w:rsidRPr="004D4384">
        <w:rPr>
          <w:rFonts w:ascii="Times New Roman" w:hAnsi="Times New Roman"/>
          <w:sz w:val="24"/>
          <w:szCs w:val="24"/>
          <w:lang w:val="ru-RU"/>
        </w:rPr>
        <w:t xml:space="preserve"> РФ, расходы российских авиакомпаний увеличатся минимум на 20 млн. Евро (без учета потенциального роста объема перевозок). </w:t>
      </w:r>
      <w:r>
        <w:rPr>
          <w:rFonts w:ascii="Times New Roman" w:hAnsi="Times New Roman"/>
          <w:sz w:val="24"/>
          <w:szCs w:val="24"/>
          <w:lang w:val="ru-RU"/>
        </w:rPr>
        <w:t>Эти данные никак не соотносятся с  тем, что только к</w:t>
      </w:r>
      <w:r w:rsidRPr="004D4384">
        <w:rPr>
          <w:rFonts w:ascii="Times New Roman" w:hAnsi="Times New Roman"/>
          <w:sz w:val="24"/>
          <w:szCs w:val="24"/>
          <w:lang w:val="ru-RU"/>
        </w:rPr>
        <w:t>рупнейший ави</w:t>
      </w:r>
      <w:r>
        <w:rPr>
          <w:rFonts w:ascii="Times New Roman" w:hAnsi="Times New Roman"/>
          <w:sz w:val="24"/>
          <w:szCs w:val="24"/>
          <w:lang w:val="ru-RU"/>
        </w:rPr>
        <w:t>аперевозчик России - "Аэрофлот", по его собственному заявлению,</w:t>
      </w:r>
      <w:r w:rsidRPr="004D4384">
        <w:rPr>
          <w:rFonts w:ascii="Times New Roman" w:hAnsi="Times New Roman"/>
          <w:sz w:val="24"/>
          <w:szCs w:val="24"/>
          <w:lang w:val="ru-RU"/>
        </w:rPr>
        <w:t xml:space="preserve"> заплатит за квоты на выбросы парни</w:t>
      </w:r>
      <w:r>
        <w:rPr>
          <w:rFonts w:ascii="Times New Roman" w:hAnsi="Times New Roman"/>
          <w:sz w:val="24"/>
          <w:szCs w:val="24"/>
          <w:lang w:val="ru-RU"/>
        </w:rPr>
        <w:t>ковых газов около 40 миллионов Е</w:t>
      </w:r>
      <w:r w:rsidRPr="004D4384">
        <w:rPr>
          <w:rFonts w:ascii="Times New Roman" w:hAnsi="Times New Roman"/>
          <w:sz w:val="24"/>
          <w:szCs w:val="24"/>
          <w:lang w:val="ru-RU"/>
        </w:rPr>
        <w:t>вро (54,6 миллиона долларов США) в 2012 г</w:t>
      </w:r>
      <w:r>
        <w:rPr>
          <w:rFonts w:ascii="Times New Roman" w:hAnsi="Times New Roman"/>
          <w:sz w:val="24"/>
          <w:szCs w:val="24"/>
          <w:lang w:val="ru-RU"/>
        </w:rPr>
        <w:t xml:space="preserve">. а </w:t>
      </w:r>
      <w:r w:rsidRPr="004D4384">
        <w:rPr>
          <w:rFonts w:ascii="Times New Roman" w:hAnsi="Times New Roman"/>
          <w:sz w:val="24"/>
          <w:szCs w:val="24"/>
          <w:lang w:val="ru-RU"/>
        </w:rPr>
        <w:t xml:space="preserve"> </w:t>
      </w:r>
      <w:r>
        <w:rPr>
          <w:rFonts w:ascii="Times New Roman" w:hAnsi="Times New Roman"/>
          <w:sz w:val="24"/>
          <w:szCs w:val="24"/>
          <w:lang w:val="ru-RU"/>
        </w:rPr>
        <w:t>д</w:t>
      </w:r>
      <w:r w:rsidRPr="004D4384">
        <w:rPr>
          <w:rFonts w:ascii="Times New Roman" w:hAnsi="Times New Roman"/>
          <w:sz w:val="24"/>
          <w:szCs w:val="24"/>
          <w:lang w:val="ru-RU"/>
        </w:rPr>
        <w:t xml:space="preserve">о 2025 года </w:t>
      </w:r>
      <w:r w:rsidRPr="00DE5273">
        <w:rPr>
          <w:rFonts w:ascii="Times New Roman" w:hAnsi="Times New Roman"/>
          <w:sz w:val="24"/>
          <w:szCs w:val="24"/>
          <w:lang w:val="ru-RU"/>
        </w:rPr>
        <w:t>потратит на парник</w:t>
      </w:r>
      <w:r>
        <w:rPr>
          <w:rFonts w:ascii="Times New Roman" w:hAnsi="Times New Roman"/>
          <w:sz w:val="24"/>
          <w:szCs w:val="24"/>
          <w:lang w:val="ru-RU"/>
        </w:rPr>
        <w:t>овые квоты около 800 миллионов Е</w:t>
      </w:r>
      <w:r w:rsidRPr="00DE5273">
        <w:rPr>
          <w:rFonts w:ascii="Times New Roman" w:hAnsi="Times New Roman"/>
          <w:sz w:val="24"/>
          <w:szCs w:val="24"/>
          <w:lang w:val="ru-RU"/>
        </w:rPr>
        <w:t>вро.</w:t>
      </w:r>
    </w:p>
    <w:p w:rsidR="007D6401" w:rsidRPr="00A7265F"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По</w:t>
      </w:r>
      <w:r w:rsidRPr="00A7265F">
        <w:rPr>
          <w:rFonts w:ascii="Times New Roman" w:hAnsi="Times New Roman"/>
          <w:sz w:val="24"/>
          <w:szCs w:val="24"/>
          <w:lang w:val="ru-RU"/>
        </w:rPr>
        <w:t xml:space="preserve"> </w:t>
      </w:r>
      <w:r>
        <w:rPr>
          <w:rFonts w:ascii="Times New Roman" w:hAnsi="Times New Roman"/>
          <w:sz w:val="24"/>
          <w:szCs w:val="24"/>
          <w:lang w:val="ru-RU"/>
        </w:rPr>
        <w:t>оценкам,</w:t>
      </w:r>
      <w:r w:rsidRPr="00A7265F">
        <w:rPr>
          <w:rFonts w:ascii="Times New Roman" w:hAnsi="Times New Roman"/>
          <w:sz w:val="24"/>
          <w:szCs w:val="24"/>
          <w:lang w:val="ru-RU"/>
        </w:rPr>
        <w:t xml:space="preserve"> </w:t>
      </w:r>
      <w:r>
        <w:rPr>
          <w:rFonts w:ascii="Times New Roman" w:hAnsi="Times New Roman"/>
          <w:sz w:val="24"/>
          <w:szCs w:val="24"/>
          <w:lang w:val="ru-RU"/>
        </w:rPr>
        <w:t>китайским</w:t>
      </w:r>
      <w:r w:rsidRPr="00A7265F">
        <w:rPr>
          <w:rFonts w:ascii="Times New Roman" w:hAnsi="Times New Roman"/>
          <w:sz w:val="24"/>
          <w:szCs w:val="24"/>
          <w:lang w:val="ru-RU"/>
        </w:rPr>
        <w:t xml:space="preserve"> </w:t>
      </w:r>
      <w:r>
        <w:rPr>
          <w:rFonts w:ascii="Times New Roman" w:hAnsi="Times New Roman"/>
          <w:sz w:val="24"/>
          <w:szCs w:val="24"/>
          <w:lang w:val="ru-RU"/>
        </w:rPr>
        <w:t>авиакомпаниям</w:t>
      </w:r>
      <w:r w:rsidRPr="00A7265F">
        <w:rPr>
          <w:rFonts w:ascii="Times New Roman" w:hAnsi="Times New Roman"/>
          <w:sz w:val="24"/>
          <w:szCs w:val="24"/>
          <w:lang w:val="ru-RU"/>
        </w:rPr>
        <w:t xml:space="preserve"> </w:t>
      </w:r>
      <w:r>
        <w:rPr>
          <w:rFonts w:ascii="Times New Roman" w:hAnsi="Times New Roman"/>
          <w:sz w:val="24"/>
          <w:szCs w:val="24"/>
          <w:lang w:val="ru-RU"/>
        </w:rPr>
        <w:t>придется</w:t>
      </w:r>
      <w:r w:rsidRPr="00A7265F">
        <w:rPr>
          <w:rFonts w:ascii="Times New Roman" w:hAnsi="Times New Roman"/>
          <w:sz w:val="24"/>
          <w:szCs w:val="24"/>
          <w:lang w:val="ru-RU"/>
        </w:rPr>
        <w:t xml:space="preserve"> </w:t>
      </w:r>
      <w:r>
        <w:rPr>
          <w:rFonts w:ascii="Times New Roman" w:hAnsi="Times New Roman"/>
          <w:sz w:val="24"/>
          <w:szCs w:val="24"/>
          <w:lang w:val="ru-RU"/>
        </w:rPr>
        <w:t>потратить</w:t>
      </w:r>
      <w:r w:rsidRPr="00A7265F">
        <w:rPr>
          <w:rFonts w:ascii="Times New Roman" w:hAnsi="Times New Roman"/>
          <w:sz w:val="24"/>
          <w:szCs w:val="24"/>
          <w:lang w:val="ru-RU"/>
        </w:rPr>
        <w:t xml:space="preserve"> 126,4 </w:t>
      </w:r>
      <w:r>
        <w:rPr>
          <w:rFonts w:ascii="Times New Roman" w:hAnsi="Times New Roman"/>
          <w:sz w:val="24"/>
          <w:szCs w:val="24"/>
          <w:lang w:val="ru-RU"/>
        </w:rPr>
        <w:t>млн</w:t>
      </w:r>
      <w:r w:rsidRPr="00A7265F">
        <w:rPr>
          <w:rFonts w:ascii="Times New Roman" w:hAnsi="Times New Roman"/>
          <w:sz w:val="24"/>
          <w:szCs w:val="24"/>
          <w:lang w:val="ru-RU"/>
        </w:rPr>
        <w:t xml:space="preserve">. </w:t>
      </w:r>
      <w:r>
        <w:rPr>
          <w:rFonts w:ascii="Times New Roman" w:hAnsi="Times New Roman"/>
          <w:sz w:val="24"/>
          <w:szCs w:val="24"/>
          <w:lang w:val="ru-RU"/>
        </w:rPr>
        <w:t>долларов</w:t>
      </w:r>
      <w:r w:rsidRPr="00A7265F">
        <w:rPr>
          <w:rFonts w:ascii="Times New Roman" w:hAnsi="Times New Roman"/>
          <w:sz w:val="24"/>
          <w:szCs w:val="24"/>
          <w:lang w:val="ru-RU"/>
        </w:rPr>
        <w:t xml:space="preserve"> </w:t>
      </w:r>
      <w:r>
        <w:rPr>
          <w:rFonts w:ascii="Times New Roman" w:hAnsi="Times New Roman"/>
          <w:sz w:val="24"/>
          <w:szCs w:val="24"/>
          <w:lang w:val="ru-RU"/>
        </w:rPr>
        <w:t>США</w:t>
      </w:r>
      <w:r w:rsidRPr="00A7265F">
        <w:rPr>
          <w:rFonts w:ascii="Times New Roman" w:hAnsi="Times New Roman"/>
          <w:sz w:val="24"/>
          <w:szCs w:val="24"/>
          <w:lang w:val="ru-RU"/>
        </w:rPr>
        <w:t xml:space="preserve"> </w:t>
      </w:r>
      <w:r>
        <w:rPr>
          <w:rFonts w:ascii="Times New Roman" w:hAnsi="Times New Roman"/>
          <w:sz w:val="24"/>
          <w:szCs w:val="24"/>
          <w:lang w:val="ru-RU"/>
        </w:rPr>
        <w:t>на</w:t>
      </w:r>
      <w:r w:rsidRPr="00A7265F">
        <w:rPr>
          <w:rFonts w:ascii="Times New Roman" w:hAnsi="Times New Roman"/>
          <w:sz w:val="24"/>
          <w:szCs w:val="24"/>
          <w:lang w:val="ru-RU"/>
        </w:rPr>
        <w:t xml:space="preserve"> </w:t>
      </w:r>
      <w:r>
        <w:rPr>
          <w:rFonts w:ascii="Times New Roman" w:hAnsi="Times New Roman"/>
          <w:sz w:val="24"/>
          <w:szCs w:val="24"/>
          <w:lang w:val="ru-RU"/>
        </w:rPr>
        <w:t>покупку</w:t>
      </w:r>
      <w:r w:rsidRPr="00A7265F">
        <w:rPr>
          <w:rFonts w:ascii="Times New Roman" w:hAnsi="Times New Roman"/>
          <w:sz w:val="24"/>
          <w:szCs w:val="24"/>
          <w:lang w:val="ru-RU"/>
        </w:rPr>
        <w:t xml:space="preserve"> </w:t>
      </w:r>
      <w:r>
        <w:rPr>
          <w:rFonts w:ascii="Times New Roman" w:hAnsi="Times New Roman"/>
          <w:sz w:val="24"/>
          <w:szCs w:val="24"/>
          <w:lang w:val="ru-RU"/>
        </w:rPr>
        <w:t>квот в</w:t>
      </w:r>
      <w:r w:rsidRPr="00A7265F">
        <w:rPr>
          <w:rFonts w:ascii="Times New Roman" w:hAnsi="Times New Roman"/>
          <w:sz w:val="24"/>
          <w:szCs w:val="24"/>
          <w:lang w:val="ru-RU"/>
        </w:rPr>
        <w:t xml:space="preserve"> 2012 </w:t>
      </w:r>
      <w:r>
        <w:rPr>
          <w:rFonts w:ascii="Times New Roman" w:hAnsi="Times New Roman"/>
          <w:sz w:val="24"/>
          <w:szCs w:val="24"/>
          <w:lang w:val="ru-RU"/>
        </w:rPr>
        <w:t>г</w:t>
      </w:r>
      <w:r w:rsidRPr="00A7265F">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sidRPr="00DE5273">
        <w:rPr>
          <w:rFonts w:ascii="Times New Roman" w:hAnsi="Times New Roman"/>
          <w:sz w:val="24"/>
          <w:szCs w:val="24"/>
          <w:lang w:val="ru-RU"/>
        </w:rPr>
        <w:t xml:space="preserve">По последним оценкам, к 2020 году авиакомпаниям придется заплатить за парниковые квоты около 2 млрд. евро  (2,8 млрд. долларов США). При этом не всем компаниям удастся переложить все эти расходы на потребителя.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DE5273">
        <w:rPr>
          <w:rFonts w:ascii="Times New Roman" w:hAnsi="Times New Roman"/>
          <w:sz w:val="24"/>
          <w:szCs w:val="24"/>
          <w:lang w:val="ru-RU"/>
        </w:rPr>
        <w:t>Вне рамок механизмов контроля выбросов парниковых газов и стимулирования их сокращения мероприятия авиакомпаний, которые объективно снижают воздействие на окружающую среду (от модернизации флота судов до дополнительного мытья самолетов), только ухудшили положение российских авиакомпаний, ужесточив «базовую линию», исходные условия вхождения</w:t>
      </w:r>
      <w:r w:rsidRPr="004D4384">
        <w:rPr>
          <w:rFonts w:ascii="Times New Roman" w:hAnsi="Times New Roman"/>
          <w:sz w:val="24"/>
          <w:szCs w:val="24"/>
          <w:lang w:val="ru-RU"/>
        </w:rPr>
        <w:t xml:space="preserve"> в рынок.</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Предварительное мнение </w:t>
      </w:r>
      <w:r>
        <w:rPr>
          <w:rFonts w:ascii="Times New Roman" w:hAnsi="Times New Roman"/>
          <w:sz w:val="24"/>
          <w:szCs w:val="24"/>
          <w:lang w:val="ru-RU"/>
        </w:rPr>
        <w:t xml:space="preserve">Генерального адвоката </w:t>
      </w:r>
      <w:r w:rsidRPr="004D4384">
        <w:rPr>
          <w:rFonts w:ascii="Times New Roman" w:hAnsi="Times New Roman"/>
          <w:sz w:val="24"/>
          <w:szCs w:val="24"/>
          <w:lang w:val="ru-RU"/>
        </w:rPr>
        <w:t>Европейского суда справедливости о том, что высказываемые возражения</w:t>
      </w:r>
      <w:r>
        <w:rPr>
          <w:rFonts w:ascii="Times New Roman" w:hAnsi="Times New Roman"/>
          <w:sz w:val="24"/>
          <w:szCs w:val="24"/>
          <w:lang w:val="ru-RU"/>
        </w:rPr>
        <w:t xml:space="preserve"> против принятого решения</w:t>
      </w:r>
      <w:r w:rsidRPr="004D4384">
        <w:rPr>
          <w:rFonts w:ascii="Times New Roman" w:hAnsi="Times New Roman"/>
          <w:sz w:val="24"/>
          <w:szCs w:val="24"/>
          <w:lang w:val="ru-RU"/>
        </w:rPr>
        <w:t xml:space="preserve"> являются «неубедительными», «несостоятельными», что от структур Евросоюза нельзя требовать «неограниченного терпения в отношении неспособности </w:t>
      </w:r>
      <w:proofErr w:type="spellStart"/>
      <w:r w:rsidRPr="004D4384">
        <w:rPr>
          <w:rFonts w:ascii="Times New Roman" w:hAnsi="Times New Roman"/>
          <w:sz w:val="24"/>
          <w:szCs w:val="24"/>
          <w:lang w:val="ru-RU"/>
        </w:rPr>
        <w:t>ИКАО</w:t>
      </w:r>
      <w:proofErr w:type="spellEnd"/>
      <w:r w:rsidRPr="004D4384">
        <w:rPr>
          <w:rFonts w:ascii="Times New Roman" w:hAnsi="Times New Roman"/>
          <w:sz w:val="24"/>
          <w:szCs w:val="24"/>
          <w:lang w:val="ru-RU"/>
        </w:rPr>
        <w:t xml:space="preserve"> выработать глобальное соглашение», позволяют уверенно предположить, что иски а</w:t>
      </w:r>
      <w:r>
        <w:rPr>
          <w:rFonts w:ascii="Times New Roman" w:hAnsi="Times New Roman"/>
          <w:sz w:val="24"/>
          <w:szCs w:val="24"/>
          <w:lang w:val="ru-RU"/>
        </w:rPr>
        <w:t>виакомпаний против включения в Е</w:t>
      </w:r>
      <w:r w:rsidRPr="004D4384">
        <w:rPr>
          <w:rFonts w:ascii="Times New Roman" w:hAnsi="Times New Roman"/>
          <w:sz w:val="24"/>
          <w:szCs w:val="24"/>
          <w:lang w:val="ru-RU"/>
        </w:rPr>
        <w:t>вропейскую систему торговли не имеют судебной перспективы.</w:t>
      </w:r>
      <w:r w:rsidRPr="004D4384">
        <w:rPr>
          <w:rStyle w:val="ad"/>
          <w:rFonts w:ascii="Times New Roman" w:hAnsi="Times New Roman"/>
          <w:sz w:val="24"/>
          <w:szCs w:val="24"/>
          <w:lang w:val="ru-RU"/>
        </w:rPr>
        <w:footnoteReference w:id="19"/>
      </w:r>
      <w:r w:rsidRPr="004D4384">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sidRPr="00835B53">
        <w:rPr>
          <w:rFonts w:ascii="Times New Roman" w:hAnsi="Times New Roman"/>
          <w:sz w:val="24"/>
          <w:szCs w:val="24"/>
          <w:lang w:val="ru-RU"/>
        </w:rPr>
        <w:t>О грядущем включении авиаперевозчиков в европейскую систему торговли парниковыми эмиссиями было известно давно, но и сегодня, когда решение принято, сохраняются иллюзии, что его можно изменить.</w:t>
      </w:r>
    </w:p>
    <w:p w:rsidR="007D6401" w:rsidRDefault="007D6401" w:rsidP="007D6401">
      <w:pPr>
        <w:spacing w:after="120" w:line="240" w:lineRule="auto"/>
        <w:ind w:firstLine="567"/>
        <w:jc w:val="both"/>
        <w:rPr>
          <w:rFonts w:ascii="Times New Roman" w:hAnsi="Times New Roman"/>
          <w:sz w:val="24"/>
          <w:szCs w:val="24"/>
          <w:lang w:val="ru-RU"/>
        </w:rPr>
      </w:pPr>
      <w:r w:rsidRPr="00835B53">
        <w:rPr>
          <w:rFonts w:ascii="Times New Roman" w:hAnsi="Times New Roman"/>
          <w:sz w:val="24"/>
          <w:szCs w:val="24"/>
          <w:lang w:val="ru-RU"/>
        </w:rPr>
        <w:lastRenderedPageBreak/>
        <w:t xml:space="preserve"> </w:t>
      </w:r>
      <w:proofErr w:type="gramStart"/>
      <w:r w:rsidRPr="00835B53">
        <w:rPr>
          <w:rFonts w:ascii="Times New Roman" w:hAnsi="Times New Roman"/>
          <w:sz w:val="24"/>
          <w:szCs w:val="24"/>
          <w:lang w:val="ru-RU"/>
        </w:rPr>
        <w:t>Об этом свидетельствует разноречивая информация о встрече министра транспорта РФ Игорь Левитина с Генеральным директором Международной ассоциации воздушного транспорта (</w:t>
      </w:r>
      <w:proofErr w:type="spellStart"/>
      <w:r w:rsidRPr="00835B53">
        <w:rPr>
          <w:rFonts w:ascii="Times New Roman" w:hAnsi="Times New Roman"/>
          <w:sz w:val="24"/>
          <w:szCs w:val="24"/>
          <w:lang w:val="ru-RU"/>
        </w:rPr>
        <w:t>IATA</w:t>
      </w:r>
      <w:proofErr w:type="spellEnd"/>
      <w:r w:rsidRPr="00835B53">
        <w:rPr>
          <w:rFonts w:ascii="Times New Roman" w:hAnsi="Times New Roman"/>
          <w:sz w:val="24"/>
          <w:szCs w:val="24"/>
          <w:lang w:val="ru-RU"/>
        </w:rPr>
        <w:t xml:space="preserve">) Джованни </w:t>
      </w:r>
      <w:proofErr w:type="spellStart"/>
      <w:r w:rsidRPr="00835B53">
        <w:rPr>
          <w:rFonts w:ascii="Times New Roman" w:hAnsi="Times New Roman"/>
          <w:sz w:val="24"/>
          <w:szCs w:val="24"/>
          <w:lang w:val="ru-RU"/>
        </w:rPr>
        <w:t>Бисиньяни</w:t>
      </w:r>
      <w:proofErr w:type="spellEnd"/>
      <w:r>
        <w:rPr>
          <w:rFonts w:ascii="Times New Roman" w:hAnsi="Times New Roman"/>
          <w:sz w:val="24"/>
          <w:szCs w:val="24"/>
          <w:lang w:val="ru-RU"/>
        </w:rPr>
        <w:t xml:space="preserve"> 20 июня 2011 г. Разноречивая, потому что М</w:t>
      </w:r>
      <w:r w:rsidRPr="00835B53">
        <w:rPr>
          <w:rFonts w:ascii="Times New Roman" w:hAnsi="Times New Roman"/>
          <w:sz w:val="24"/>
          <w:szCs w:val="24"/>
          <w:lang w:val="ru-RU"/>
        </w:rPr>
        <w:t>интранс сообща</w:t>
      </w:r>
      <w:r>
        <w:rPr>
          <w:rFonts w:ascii="Times New Roman" w:hAnsi="Times New Roman"/>
          <w:sz w:val="24"/>
          <w:szCs w:val="24"/>
          <w:lang w:val="ru-RU"/>
        </w:rPr>
        <w:t>л</w:t>
      </w:r>
      <w:r w:rsidRPr="00835B53">
        <w:rPr>
          <w:rFonts w:ascii="Times New Roman" w:hAnsi="Times New Roman"/>
          <w:sz w:val="24"/>
          <w:szCs w:val="24"/>
          <w:lang w:val="ru-RU"/>
        </w:rPr>
        <w:t xml:space="preserve"> о том, что «И. Левитин поблагодарил </w:t>
      </w:r>
      <w:r>
        <w:rPr>
          <w:rFonts w:ascii="Times New Roman" w:hAnsi="Times New Roman"/>
          <w:sz w:val="24"/>
          <w:szCs w:val="24"/>
          <w:lang w:val="ru-RU"/>
        </w:rPr>
        <w:t xml:space="preserve">Д. </w:t>
      </w:r>
      <w:proofErr w:type="spellStart"/>
      <w:r>
        <w:rPr>
          <w:rFonts w:ascii="Times New Roman" w:hAnsi="Times New Roman"/>
          <w:sz w:val="24"/>
          <w:szCs w:val="24"/>
          <w:lang w:val="ru-RU"/>
        </w:rPr>
        <w:t>Биси</w:t>
      </w:r>
      <w:r w:rsidRPr="00835B53">
        <w:rPr>
          <w:rFonts w:ascii="Times New Roman" w:hAnsi="Times New Roman"/>
          <w:sz w:val="24"/>
          <w:szCs w:val="24"/>
          <w:lang w:val="ru-RU"/>
        </w:rPr>
        <w:t>н</w:t>
      </w:r>
      <w:r>
        <w:rPr>
          <w:rFonts w:ascii="Times New Roman" w:hAnsi="Times New Roman"/>
          <w:sz w:val="24"/>
          <w:szCs w:val="24"/>
          <w:lang w:val="ru-RU"/>
        </w:rPr>
        <w:t>ья</w:t>
      </w:r>
      <w:r w:rsidRPr="00835B53">
        <w:rPr>
          <w:rFonts w:ascii="Times New Roman" w:hAnsi="Times New Roman"/>
          <w:sz w:val="24"/>
          <w:szCs w:val="24"/>
          <w:lang w:val="ru-RU"/>
        </w:rPr>
        <w:t>ни</w:t>
      </w:r>
      <w:proofErr w:type="spellEnd"/>
      <w:r w:rsidRPr="00835B53">
        <w:rPr>
          <w:rFonts w:ascii="Times New Roman" w:hAnsi="Times New Roman"/>
          <w:sz w:val="24"/>
          <w:szCs w:val="24"/>
          <w:lang w:val="ru-RU"/>
        </w:rPr>
        <w:t xml:space="preserve"> за поддержку российской стороны в вопросах платы за выброс углекислого газа», а </w:t>
      </w:r>
      <w:proofErr w:type="spellStart"/>
      <w:r>
        <w:rPr>
          <w:rFonts w:ascii="Times New Roman" w:hAnsi="Times New Roman"/>
          <w:sz w:val="24"/>
          <w:szCs w:val="24"/>
          <w:lang w:val="ru-RU"/>
        </w:rPr>
        <w:t>ИКАО</w:t>
      </w:r>
      <w:proofErr w:type="spellEnd"/>
      <w:r>
        <w:rPr>
          <w:rFonts w:ascii="Times New Roman" w:hAnsi="Times New Roman"/>
          <w:sz w:val="24"/>
          <w:szCs w:val="24"/>
          <w:lang w:val="ru-RU"/>
        </w:rPr>
        <w:t xml:space="preserve"> </w:t>
      </w:r>
      <w:r w:rsidRPr="00835B53">
        <w:rPr>
          <w:rFonts w:ascii="Times New Roman" w:hAnsi="Times New Roman"/>
          <w:sz w:val="24"/>
          <w:szCs w:val="24"/>
          <w:lang w:val="ru-RU"/>
        </w:rPr>
        <w:t xml:space="preserve">сообщает, что «господин </w:t>
      </w:r>
      <w:proofErr w:type="spellStart"/>
      <w:r w:rsidRPr="00835B53">
        <w:rPr>
          <w:rFonts w:ascii="Times New Roman" w:hAnsi="Times New Roman"/>
          <w:sz w:val="24"/>
          <w:szCs w:val="24"/>
          <w:lang w:val="ru-RU"/>
        </w:rPr>
        <w:t>Бисиньяни</w:t>
      </w:r>
      <w:proofErr w:type="spellEnd"/>
      <w:r w:rsidRPr="00835B53">
        <w:rPr>
          <w:rFonts w:ascii="Times New Roman" w:hAnsi="Times New Roman"/>
          <w:sz w:val="24"/>
          <w:szCs w:val="24"/>
          <w:lang w:val="ru-RU"/>
        </w:rPr>
        <w:t xml:space="preserve"> призвал Россию занять более</w:t>
      </w:r>
      <w:proofErr w:type="gramEnd"/>
      <w:r w:rsidRPr="00835B53">
        <w:rPr>
          <w:rFonts w:ascii="Times New Roman" w:hAnsi="Times New Roman"/>
          <w:sz w:val="24"/>
          <w:szCs w:val="24"/>
          <w:lang w:val="ru-RU"/>
        </w:rPr>
        <w:t xml:space="preserve"> активную позицию в борьбе с европейскими планами по включению международной авиации в Европейскую систему торговли квотами на выбросы и присоединиться к странам, в том числе США и Китаю, которые </w:t>
      </w:r>
      <w:proofErr w:type="gramStart"/>
      <w:r w:rsidRPr="00835B53">
        <w:rPr>
          <w:rFonts w:ascii="Times New Roman" w:hAnsi="Times New Roman"/>
          <w:sz w:val="24"/>
          <w:szCs w:val="24"/>
          <w:lang w:val="ru-RU"/>
        </w:rPr>
        <w:t>открыто</w:t>
      </w:r>
      <w:proofErr w:type="gramEnd"/>
      <w:r w:rsidRPr="00835B53">
        <w:rPr>
          <w:rFonts w:ascii="Times New Roman" w:hAnsi="Times New Roman"/>
          <w:sz w:val="24"/>
          <w:szCs w:val="24"/>
          <w:lang w:val="ru-RU"/>
        </w:rPr>
        <w:t xml:space="preserve"> заявили о своем несогласии с Европой по данному вопросу». </w:t>
      </w:r>
    </w:p>
    <w:p w:rsidR="007D6401" w:rsidRDefault="007D6401" w:rsidP="007D6401">
      <w:pPr>
        <w:spacing w:after="120" w:line="240" w:lineRule="auto"/>
        <w:ind w:firstLine="567"/>
        <w:jc w:val="both"/>
        <w:rPr>
          <w:rFonts w:ascii="Times New Roman" w:hAnsi="Times New Roman"/>
          <w:sz w:val="24"/>
          <w:szCs w:val="24"/>
          <w:lang w:val="ru-RU"/>
        </w:rPr>
      </w:pPr>
      <w:r w:rsidRPr="00835B53">
        <w:rPr>
          <w:rFonts w:ascii="Times New Roman" w:hAnsi="Times New Roman"/>
          <w:sz w:val="24"/>
          <w:szCs w:val="24"/>
          <w:lang w:val="ru-RU"/>
        </w:rPr>
        <w:t xml:space="preserve">То есть </w:t>
      </w:r>
      <w:proofErr w:type="spellStart"/>
      <w:r w:rsidRPr="00835B53">
        <w:rPr>
          <w:rFonts w:ascii="Times New Roman" w:hAnsi="Times New Roman"/>
          <w:sz w:val="24"/>
          <w:szCs w:val="24"/>
          <w:lang w:val="ru-RU"/>
        </w:rPr>
        <w:t>Бисиньяни</w:t>
      </w:r>
      <w:proofErr w:type="spellEnd"/>
      <w:r w:rsidRPr="00835B53">
        <w:rPr>
          <w:rFonts w:ascii="Times New Roman" w:hAnsi="Times New Roman"/>
          <w:sz w:val="24"/>
          <w:szCs w:val="24"/>
          <w:lang w:val="ru-RU"/>
        </w:rPr>
        <w:t xml:space="preserve">, собственно, нечего было поддерживать в позиции РФ в силу отсутствия таковой. Не исключено, что г-на </w:t>
      </w:r>
      <w:proofErr w:type="spellStart"/>
      <w:r w:rsidRPr="00835B53">
        <w:rPr>
          <w:rFonts w:ascii="Times New Roman" w:hAnsi="Times New Roman"/>
          <w:sz w:val="24"/>
          <w:szCs w:val="24"/>
          <w:lang w:val="ru-RU"/>
        </w:rPr>
        <w:t>Бисиньяни</w:t>
      </w:r>
      <w:proofErr w:type="spellEnd"/>
      <w:r w:rsidRPr="00835B53">
        <w:rPr>
          <w:rFonts w:ascii="Times New Roman" w:hAnsi="Times New Roman"/>
          <w:sz w:val="24"/>
          <w:szCs w:val="24"/>
          <w:lang w:val="ru-RU"/>
        </w:rPr>
        <w:t xml:space="preserve"> с некоторой стороны радовало отсутствие позиции, так как не пришлось в очередной раз объясняться, почему </w:t>
      </w:r>
      <w:proofErr w:type="spellStart"/>
      <w:r>
        <w:rPr>
          <w:rFonts w:ascii="Times New Roman" w:hAnsi="Times New Roman"/>
          <w:sz w:val="24"/>
          <w:szCs w:val="24"/>
          <w:lang w:val="ru-RU"/>
        </w:rPr>
        <w:t>ИКАО</w:t>
      </w:r>
      <w:proofErr w:type="spellEnd"/>
      <w:r>
        <w:rPr>
          <w:rFonts w:ascii="Times New Roman" w:hAnsi="Times New Roman"/>
          <w:sz w:val="24"/>
          <w:szCs w:val="24"/>
          <w:lang w:val="ru-RU"/>
        </w:rPr>
        <w:t xml:space="preserve"> </w:t>
      </w:r>
      <w:r w:rsidRPr="00835B53">
        <w:rPr>
          <w:rFonts w:ascii="Times New Roman" w:hAnsi="Times New Roman"/>
          <w:sz w:val="24"/>
          <w:szCs w:val="24"/>
          <w:lang w:val="ru-RU"/>
        </w:rPr>
        <w:t xml:space="preserve">ничего не сделала с 1997 года по ст. 2.2 Киотского протокола: «Стороны, включенные в приложение </w:t>
      </w:r>
      <w:proofErr w:type="spellStart"/>
      <w:r w:rsidRPr="00835B53">
        <w:rPr>
          <w:rFonts w:ascii="Times New Roman" w:hAnsi="Times New Roman"/>
          <w:sz w:val="24"/>
          <w:szCs w:val="24"/>
          <w:lang w:val="ru-RU"/>
        </w:rPr>
        <w:t>I</w:t>
      </w:r>
      <w:proofErr w:type="spellEnd"/>
      <w:r w:rsidRPr="00835B53">
        <w:rPr>
          <w:rFonts w:ascii="Times New Roman" w:hAnsi="Times New Roman"/>
          <w:sz w:val="24"/>
          <w:szCs w:val="24"/>
          <w:lang w:val="ru-RU"/>
        </w:rPr>
        <w:t xml:space="preserve">, стремятся к ограничению или сокращению выбросов парниковых газов, не регулируемых </w:t>
      </w:r>
      <w:proofErr w:type="spellStart"/>
      <w:r w:rsidRPr="00835B53">
        <w:rPr>
          <w:rFonts w:ascii="Times New Roman" w:hAnsi="Times New Roman"/>
          <w:sz w:val="24"/>
          <w:szCs w:val="24"/>
          <w:lang w:val="ru-RU"/>
        </w:rPr>
        <w:t>Монреальским</w:t>
      </w:r>
      <w:proofErr w:type="spellEnd"/>
      <w:r w:rsidRPr="00835B53">
        <w:rPr>
          <w:rFonts w:ascii="Times New Roman" w:hAnsi="Times New Roman"/>
          <w:sz w:val="24"/>
          <w:szCs w:val="24"/>
          <w:lang w:val="ru-RU"/>
        </w:rPr>
        <w:t xml:space="preserve"> протоколом, в результате использования бункерного топлива при воздушных и морских перевозках, действуя соответственно через Международную организацию гражданской авиации и Международную морскую организацию». </w:t>
      </w:r>
    </w:p>
    <w:p w:rsidR="007D6401" w:rsidRDefault="007D6401" w:rsidP="007D6401">
      <w:pPr>
        <w:spacing w:after="120" w:line="240" w:lineRule="auto"/>
        <w:ind w:firstLine="567"/>
        <w:jc w:val="both"/>
        <w:rPr>
          <w:rFonts w:ascii="Times New Roman" w:hAnsi="Times New Roman"/>
          <w:sz w:val="24"/>
          <w:szCs w:val="24"/>
          <w:lang w:val="ru-RU"/>
        </w:rPr>
      </w:pPr>
      <w:r w:rsidRPr="00835B53">
        <w:rPr>
          <w:rFonts w:ascii="Times New Roman" w:hAnsi="Times New Roman"/>
          <w:sz w:val="24"/>
          <w:szCs w:val="24"/>
          <w:lang w:val="ru-RU"/>
        </w:rPr>
        <w:t>Но самое примечательное это позиция И. Левитина, сформулированная следующим образом: «Схема торговли выбросами, которую Европейский союз планирует ввести с 1 января 2012 года, может, привести к реализации аналогичных налогов и в других странах». Вряд ли министр имел в виду, что Россия введет налог на эмиссию парниковых газов, но если речь о том, чтобы ввести аналог торговой системы, то такую инициативу можно только приветствовать.</w:t>
      </w:r>
      <w:r>
        <w:rPr>
          <w:rFonts w:ascii="Times New Roman" w:hAnsi="Times New Roman"/>
          <w:sz w:val="24"/>
          <w:szCs w:val="24"/>
          <w:lang w:val="ru-RU"/>
        </w:rPr>
        <w:t xml:space="preserve"> И, собственно говоря, соответствующая Директива ЕС позволяет в этом случае исключить авиакомпании данной страны из ЕТС.</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Не следуя ли модели «аналогичных мер», Минтранс РФ  заявил о намерении провести через Госдуму РФ аналогичный </w:t>
      </w:r>
      <w:proofErr w:type="gramStart"/>
      <w:r>
        <w:rPr>
          <w:rFonts w:ascii="Times New Roman" w:hAnsi="Times New Roman"/>
          <w:sz w:val="24"/>
          <w:szCs w:val="24"/>
          <w:lang w:val="ru-RU"/>
        </w:rPr>
        <w:t>американскому</w:t>
      </w:r>
      <w:proofErr w:type="gramEnd"/>
      <w:r>
        <w:rPr>
          <w:rFonts w:ascii="Times New Roman" w:hAnsi="Times New Roman"/>
          <w:sz w:val="24"/>
          <w:szCs w:val="24"/>
          <w:lang w:val="ru-RU"/>
        </w:rPr>
        <w:t xml:space="preserve"> запрет российским авиакомпаниям платить за парниковые выбросы в Европе? Введение российской аналогичной системы для авиатранспорта, безусловно, являлось бы основанием для такого запрета, так как нельзя заставлять компанию платить за что-либо дважды.</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2 ноября нынешнего года в Монреале большинством голосов </w:t>
      </w:r>
      <w:proofErr w:type="spellStart"/>
      <w:r>
        <w:rPr>
          <w:rFonts w:ascii="Times New Roman" w:hAnsi="Times New Roman"/>
          <w:sz w:val="24"/>
          <w:szCs w:val="24"/>
          <w:lang w:val="ru-RU"/>
        </w:rPr>
        <w:t>ИКАО</w:t>
      </w:r>
      <w:proofErr w:type="spellEnd"/>
      <w:r>
        <w:rPr>
          <w:rFonts w:ascii="Times New Roman" w:hAnsi="Times New Roman"/>
          <w:sz w:val="24"/>
          <w:szCs w:val="24"/>
          <w:lang w:val="ru-RU"/>
        </w:rPr>
        <w:t xml:space="preserve"> приняло документ, призывающий ЕС исключить иностранных авиаперевозчиков из ЕТС. За нее проголосовали26 стран из 36 членов </w:t>
      </w:r>
      <w:proofErr w:type="spellStart"/>
      <w:r>
        <w:rPr>
          <w:rFonts w:ascii="Times New Roman" w:hAnsi="Times New Roman"/>
          <w:sz w:val="24"/>
          <w:szCs w:val="24"/>
          <w:lang w:val="ru-RU"/>
        </w:rPr>
        <w:t>ИКАО</w:t>
      </w:r>
      <w:proofErr w:type="spellEnd"/>
      <w:r>
        <w:rPr>
          <w:rFonts w:ascii="Times New Roman" w:hAnsi="Times New Roman"/>
          <w:sz w:val="24"/>
          <w:szCs w:val="24"/>
          <w:lang w:val="ru-RU"/>
        </w:rPr>
        <w:t>, включая КНР, Японию, Россию, США, на основании того, что решение Евросоюза является «кардинальным нарушением принципа государственного суверенитета», закрепленного в Конвенции о гражданской авиации (Чикагская конвенция).</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Представитель КНР заявил о «твердом протесте», Конгресс США проголосовал за законопроект, который делал бы действия авиакомпаний США по соответствию европейским требованиям в этой части незаконными, хотя он еще должен быть одобрен Сенатом и Президентом.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Против документа голосовали 8 стран – членов ЕС. Австралия и Новая Зеландия воздержались.</w:t>
      </w:r>
    </w:p>
    <w:p w:rsidR="007D6401" w:rsidRPr="0057123F" w:rsidRDefault="007D6401" w:rsidP="007D6401">
      <w:pPr>
        <w:spacing w:after="120" w:line="240" w:lineRule="auto"/>
        <w:ind w:firstLine="567"/>
        <w:jc w:val="both"/>
        <w:rPr>
          <w:rFonts w:ascii="Times New Roman" w:hAnsi="Times New Roman"/>
          <w:sz w:val="24"/>
          <w:szCs w:val="24"/>
          <w:lang w:val="ru-RU"/>
        </w:rPr>
      </w:pPr>
      <w:r w:rsidRPr="0057123F">
        <w:rPr>
          <w:rFonts w:ascii="Times New Roman" w:hAnsi="Times New Roman"/>
          <w:sz w:val="24"/>
          <w:szCs w:val="24"/>
          <w:lang w:val="ru-RU"/>
        </w:rPr>
        <w:t xml:space="preserve">Комиссар ЕС по проблемам климата </w:t>
      </w:r>
      <w:proofErr w:type="spellStart"/>
      <w:r w:rsidRPr="0057123F">
        <w:rPr>
          <w:rFonts w:ascii="Times New Roman" w:hAnsi="Times New Roman"/>
          <w:sz w:val="24"/>
          <w:szCs w:val="24"/>
          <w:lang w:val="ru-RU"/>
        </w:rPr>
        <w:t>Конни</w:t>
      </w:r>
      <w:proofErr w:type="spellEnd"/>
      <w:r w:rsidRPr="0057123F">
        <w:rPr>
          <w:rFonts w:ascii="Times New Roman" w:hAnsi="Times New Roman"/>
          <w:sz w:val="24"/>
          <w:szCs w:val="24"/>
          <w:lang w:val="ru-RU"/>
        </w:rPr>
        <w:t xml:space="preserve"> </w:t>
      </w:r>
      <w:proofErr w:type="spellStart"/>
      <w:r w:rsidRPr="0057123F">
        <w:rPr>
          <w:rFonts w:ascii="Times New Roman" w:hAnsi="Times New Roman"/>
          <w:sz w:val="24"/>
          <w:szCs w:val="24"/>
          <w:lang w:val="ru-RU"/>
        </w:rPr>
        <w:t>Хедегорд</w:t>
      </w:r>
      <w:proofErr w:type="spellEnd"/>
      <w:r>
        <w:rPr>
          <w:rFonts w:ascii="Times New Roman" w:hAnsi="Times New Roman"/>
          <w:sz w:val="24"/>
          <w:szCs w:val="24"/>
          <w:lang w:val="ru-RU"/>
        </w:rPr>
        <w:t xml:space="preserve"> по этому поводу заявила, что «обсуждение в </w:t>
      </w:r>
      <w:proofErr w:type="spellStart"/>
      <w:r>
        <w:rPr>
          <w:rFonts w:ascii="Times New Roman" w:hAnsi="Times New Roman"/>
          <w:sz w:val="24"/>
          <w:szCs w:val="24"/>
          <w:lang w:val="ru-RU"/>
        </w:rPr>
        <w:t>ИКАО</w:t>
      </w:r>
      <w:proofErr w:type="spellEnd"/>
      <w:r>
        <w:rPr>
          <w:rFonts w:ascii="Times New Roman" w:hAnsi="Times New Roman"/>
          <w:sz w:val="24"/>
          <w:szCs w:val="24"/>
          <w:lang w:val="ru-RU"/>
        </w:rPr>
        <w:t xml:space="preserve"> вновь было сосредоточено на том, что ст</w:t>
      </w:r>
      <w:r w:rsidR="007673F8">
        <w:rPr>
          <w:rFonts w:ascii="Times New Roman" w:hAnsi="Times New Roman"/>
          <w:sz w:val="24"/>
          <w:szCs w:val="24"/>
          <w:lang w:val="ru-RU"/>
        </w:rPr>
        <w:t>р</w:t>
      </w:r>
      <w:r>
        <w:rPr>
          <w:rFonts w:ascii="Times New Roman" w:hAnsi="Times New Roman"/>
          <w:sz w:val="24"/>
          <w:szCs w:val="24"/>
          <w:lang w:val="ru-RU"/>
        </w:rPr>
        <w:t xml:space="preserve">анам не следует делать, вместо того, чтобы обсуждать, что им делать следует…»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Между тем, выражая решительный протест односторонним действиям Евросоюза, КНР разрабатывает собственную отраслевую систему торговли для гражданской авиации, введение которой в действие, собственно, решило бы проблему. Поэтому китайский протест носит сугубо политический характер</w:t>
      </w:r>
    </w:p>
    <w:p w:rsidR="007D6401" w:rsidRPr="008823A9"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24-25 ноября ожидается участие и российских представителей в обсуждении возможных аналогичных национальных мер в Брюсселе</w:t>
      </w:r>
      <w:r w:rsidRPr="008823A9">
        <w:rPr>
          <w:rFonts w:ascii="Verdana" w:hAnsi="Verdana"/>
          <w:sz w:val="16"/>
          <w:szCs w:val="16"/>
          <w:lang w:val="ru-RU"/>
        </w:rPr>
        <w:t>.</w:t>
      </w:r>
      <w:r>
        <w:rPr>
          <w:rStyle w:val="ad"/>
          <w:rFonts w:ascii="Verdana" w:hAnsi="Verdana"/>
          <w:sz w:val="16"/>
          <w:szCs w:val="16"/>
        </w:rPr>
        <w:footnoteReference w:id="20"/>
      </w:r>
      <w:r>
        <w:rPr>
          <w:rFonts w:ascii="Verdana" w:hAnsi="Verdana"/>
          <w:sz w:val="16"/>
          <w:szCs w:val="16"/>
          <w:lang w:val="ru-RU"/>
        </w:rPr>
        <w:t xml:space="preserve"> </w:t>
      </w:r>
      <w:r w:rsidRPr="002C19B9">
        <w:rPr>
          <w:rFonts w:ascii="Times New Roman" w:hAnsi="Times New Roman"/>
          <w:sz w:val="24"/>
          <w:szCs w:val="24"/>
          <w:lang w:val="ru-RU"/>
        </w:rPr>
        <w:t>Возможно, эта встреча прояснит российскую позицию</w:t>
      </w:r>
      <w:r>
        <w:rPr>
          <w:rFonts w:ascii="Times New Roman" w:hAnsi="Times New Roman"/>
          <w:sz w:val="24"/>
          <w:szCs w:val="24"/>
          <w:lang w:val="ru-RU"/>
        </w:rPr>
        <w:t>. На таких встречах может быть рассмотрено предложение о создании механизма зачета российских кредитов для компенсации парниковых выбросов авиации в качестве промежуточного шага до создания российской системы квотирования выбросов авиации</w:t>
      </w:r>
      <w:r>
        <w:rPr>
          <w:rFonts w:ascii="Verdana" w:hAnsi="Verdana"/>
          <w:sz w:val="16"/>
          <w:szCs w:val="16"/>
          <w:lang w:val="ru-RU"/>
        </w:rPr>
        <w:t xml:space="preserve">. </w:t>
      </w:r>
    </w:p>
    <w:p w:rsidR="007D6401" w:rsidRPr="008823A9" w:rsidRDefault="007D6401" w:rsidP="007D6401">
      <w:pPr>
        <w:spacing w:after="120" w:line="240" w:lineRule="auto"/>
        <w:ind w:firstLine="567"/>
        <w:jc w:val="both"/>
        <w:rPr>
          <w:rFonts w:ascii="Times New Roman" w:hAnsi="Times New Roman"/>
          <w:sz w:val="24"/>
          <w:szCs w:val="24"/>
          <w:lang w:val="ru-RU"/>
        </w:rPr>
      </w:pPr>
    </w:p>
    <w:p w:rsidR="007D6401" w:rsidRPr="000A5002" w:rsidRDefault="007D6401" w:rsidP="007D6401">
      <w:pPr>
        <w:spacing w:after="120" w:line="240" w:lineRule="auto"/>
        <w:rPr>
          <w:rFonts w:ascii="Times New Roman" w:hAnsi="Times New Roman"/>
          <w:b/>
          <w:i/>
          <w:sz w:val="24"/>
          <w:szCs w:val="24"/>
          <w:lang w:val="ru-RU"/>
        </w:rPr>
      </w:pPr>
      <w:r>
        <w:rPr>
          <w:rFonts w:ascii="Times New Roman" w:hAnsi="Times New Roman"/>
          <w:b/>
          <w:i/>
          <w:sz w:val="24"/>
          <w:szCs w:val="24"/>
          <w:lang w:val="ru-RU"/>
        </w:rPr>
        <w:t>М</w:t>
      </w:r>
      <w:r w:rsidRPr="000A5002">
        <w:rPr>
          <w:rFonts w:ascii="Times New Roman" w:hAnsi="Times New Roman"/>
          <w:b/>
          <w:i/>
          <w:sz w:val="24"/>
          <w:szCs w:val="24"/>
          <w:lang w:val="ru-RU"/>
        </w:rPr>
        <w:t>орской транспорт</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Сказанное об авиации</w:t>
      </w:r>
      <w:r w:rsidRPr="004D4384">
        <w:rPr>
          <w:rFonts w:ascii="Times New Roman" w:hAnsi="Times New Roman"/>
          <w:sz w:val="24"/>
          <w:szCs w:val="24"/>
          <w:lang w:val="ru-RU"/>
        </w:rPr>
        <w:t xml:space="preserve"> во многом относится и к морскому судоходству. </w:t>
      </w:r>
      <w:proofErr w:type="gramStart"/>
      <w:r w:rsidRPr="004D4384">
        <w:rPr>
          <w:rFonts w:ascii="Times New Roman" w:hAnsi="Times New Roman"/>
          <w:sz w:val="24"/>
          <w:szCs w:val="24"/>
          <w:lang w:val="ru-RU"/>
        </w:rPr>
        <w:t>Директивы и решения Еврокомиссии (2009/29/</w:t>
      </w:r>
      <w:r w:rsidRPr="004D4384">
        <w:rPr>
          <w:rFonts w:ascii="Times New Roman" w:hAnsi="Times New Roman"/>
          <w:sz w:val="24"/>
          <w:szCs w:val="24"/>
        </w:rPr>
        <w:t>EC</w:t>
      </w:r>
      <w:r w:rsidRPr="004D4384">
        <w:rPr>
          <w:rFonts w:ascii="Times New Roman" w:hAnsi="Times New Roman"/>
          <w:sz w:val="24"/>
          <w:szCs w:val="24"/>
          <w:lang w:val="ru-RU"/>
        </w:rPr>
        <w:t>,  406/2009/</w:t>
      </w:r>
      <w:r w:rsidRPr="004D4384">
        <w:rPr>
          <w:rFonts w:ascii="Times New Roman" w:hAnsi="Times New Roman"/>
          <w:sz w:val="24"/>
          <w:szCs w:val="24"/>
        </w:rPr>
        <w:t>EC</w:t>
      </w:r>
      <w:r w:rsidRPr="004D4384">
        <w:rPr>
          <w:rFonts w:ascii="Times New Roman" w:hAnsi="Times New Roman"/>
          <w:sz w:val="24"/>
          <w:szCs w:val="24"/>
          <w:lang w:val="ru-RU"/>
        </w:rPr>
        <w:t xml:space="preserve">), решения Европарламента и </w:t>
      </w:r>
      <w:proofErr w:type="spellStart"/>
      <w:r w:rsidRPr="004D4384">
        <w:rPr>
          <w:rFonts w:ascii="Times New Roman" w:hAnsi="Times New Roman"/>
          <w:sz w:val="24"/>
          <w:szCs w:val="24"/>
          <w:lang w:val="ru-RU"/>
        </w:rPr>
        <w:t>Евросовета</w:t>
      </w:r>
      <w:proofErr w:type="spellEnd"/>
      <w:r w:rsidRPr="004D4384">
        <w:rPr>
          <w:rFonts w:ascii="Times New Roman" w:hAnsi="Times New Roman"/>
          <w:sz w:val="24"/>
          <w:szCs w:val="24"/>
          <w:lang w:val="ru-RU"/>
        </w:rPr>
        <w:t xml:space="preserve"> от 23 апреля 2009 г. фактически </w:t>
      </w:r>
      <w:r w:rsidRPr="00E34DC0">
        <w:rPr>
          <w:rFonts w:ascii="Times New Roman" w:hAnsi="Times New Roman"/>
          <w:sz w:val="24"/>
          <w:szCs w:val="24"/>
          <w:u w:val="single"/>
          <w:lang w:val="ru-RU"/>
        </w:rPr>
        <w:t>обязывают</w:t>
      </w:r>
      <w:r w:rsidRPr="004D4384">
        <w:rPr>
          <w:rFonts w:ascii="Times New Roman" w:hAnsi="Times New Roman"/>
          <w:sz w:val="24"/>
          <w:szCs w:val="24"/>
          <w:lang w:val="ru-RU"/>
        </w:rPr>
        <w:t xml:space="preserve"> Еврокомиссию внести предложения о включении в рамки обязательств ЕС по снижению эмиссий парниковых газов международного судоходства в случае отсутствия успеха международных переговоров в рамках Международной морской организации (</w:t>
      </w:r>
      <w:r w:rsidRPr="004D4384">
        <w:rPr>
          <w:rFonts w:ascii="Times New Roman" w:hAnsi="Times New Roman"/>
          <w:sz w:val="24"/>
          <w:szCs w:val="24"/>
        </w:rPr>
        <w:t>IMO</w:t>
      </w:r>
      <w:r w:rsidRPr="004D4384">
        <w:rPr>
          <w:rFonts w:ascii="Times New Roman" w:hAnsi="Times New Roman"/>
          <w:sz w:val="24"/>
          <w:szCs w:val="24"/>
          <w:lang w:val="ru-RU"/>
        </w:rPr>
        <w:t>) и/или Рамочной Конвенции ООН об изменении климата до конца 2011</w:t>
      </w:r>
      <w:proofErr w:type="gramEnd"/>
      <w:r w:rsidRPr="004D4384">
        <w:rPr>
          <w:rFonts w:ascii="Times New Roman" w:hAnsi="Times New Roman"/>
          <w:sz w:val="24"/>
          <w:szCs w:val="24"/>
          <w:lang w:val="ru-RU"/>
        </w:rPr>
        <w:t xml:space="preserve"> года. </w:t>
      </w:r>
    </w:p>
    <w:p w:rsidR="007D6401" w:rsidRPr="00743743" w:rsidRDefault="007D6401" w:rsidP="007D6401">
      <w:pPr>
        <w:spacing w:after="120" w:line="240" w:lineRule="auto"/>
        <w:ind w:firstLine="567"/>
        <w:jc w:val="both"/>
        <w:rPr>
          <w:rFonts w:ascii="Times New Roman" w:hAnsi="Times New Roman"/>
          <w:sz w:val="24"/>
          <w:szCs w:val="24"/>
          <w:lang w:val="ru-RU"/>
        </w:rPr>
      </w:pPr>
      <w:r w:rsidRPr="00743743">
        <w:rPr>
          <w:rFonts w:ascii="Times New Roman" w:hAnsi="Times New Roman"/>
          <w:sz w:val="24"/>
          <w:szCs w:val="24"/>
          <w:lang w:val="ru-RU"/>
        </w:rPr>
        <w:t>В приглашении Еврокомиссии к тендеру по оценке воздействия введения системы регулирования для парниковых эмиссий морского транспорта говорилось:</w:t>
      </w:r>
      <w:r>
        <w:rPr>
          <w:rFonts w:ascii="Times New Roman" w:hAnsi="Times New Roman"/>
          <w:sz w:val="24"/>
          <w:szCs w:val="24"/>
          <w:lang w:val="ru-RU"/>
        </w:rPr>
        <w:t xml:space="preserve"> </w:t>
      </w:r>
      <w:r w:rsidRPr="00743743">
        <w:rPr>
          <w:rFonts w:ascii="Times New Roman" w:hAnsi="Times New Roman"/>
          <w:sz w:val="24"/>
          <w:szCs w:val="24"/>
          <w:lang w:val="ru-RU"/>
        </w:rPr>
        <w:t xml:space="preserve">«По оценкам, 40% морских грузоперевозок определяются европейскими интересами. Евросоюз твердо намерен работать над соглашением об эффективных мерах контроля парниковых эмиссий судоходства. </w:t>
      </w:r>
      <w:proofErr w:type="gramStart"/>
      <w:r w:rsidRPr="00743743">
        <w:rPr>
          <w:rFonts w:ascii="Times New Roman" w:hAnsi="Times New Roman"/>
          <w:sz w:val="24"/>
          <w:szCs w:val="24"/>
          <w:lang w:val="ru-RU"/>
        </w:rPr>
        <w:t>Директивы и решения Еврокомиссии (2009/29/</w:t>
      </w:r>
      <w:proofErr w:type="spellStart"/>
      <w:r w:rsidRPr="00743743">
        <w:rPr>
          <w:rFonts w:ascii="Times New Roman" w:hAnsi="Times New Roman"/>
          <w:sz w:val="24"/>
          <w:szCs w:val="24"/>
          <w:lang w:val="ru-RU"/>
        </w:rPr>
        <w:t>EC</w:t>
      </w:r>
      <w:proofErr w:type="spellEnd"/>
      <w:r w:rsidRPr="00743743">
        <w:rPr>
          <w:rFonts w:ascii="Times New Roman" w:hAnsi="Times New Roman"/>
          <w:sz w:val="24"/>
          <w:szCs w:val="24"/>
          <w:lang w:val="ru-RU"/>
        </w:rPr>
        <w:t>,  406/2009/</w:t>
      </w:r>
      <w:proofErr w:type="spellStart"/>
      <w:r w:rsidRPr="00743743">
        <w:rPr>
          <w:rFonts w:ascii="Times New Roman" w:hAnsi="Times New Roman"/>
          <w:sz w:val="24"/>
          <w:szCs w:val="24"/>
          <w:lang w:val="ru-RU"/>
        </w:rPr>
        <w:t>EC</w:t>
      </w:r>
      <w:proofErr w:type="spellEnd"/>
      <w:r w:rsidRPr="00743743">
        <w:rPr>
          <w:rFonts w:ascii="Times New Roman" w:hAnsi="Times New Roman"/>
          <w:sz w:val="24"/>
          <w:szCs w:val="24"/>
          <w:lang w:val="ru-RU"/>
        </w:rPr>
        <w:t xml:space="preserve">), решения Европарламента и </w:t>
      </w:r>
      <w:proofErr w:type="spellStart"/>
      <w:r w:rsidRPr="00743743">
        <w:rPr>
          <w:rFonts w:ascii="Times New Roman" w:hAnsi="Times New Roman"/>
          <w:sz w:val="24"/>
          <w:szCs w:val="24"/>
          <w:lang w:val="ru-RU"/>
        </w:rPr>
        <w:t>Евросовета</w:t>
      </w:r>
      <w:proofErr w:type="spellEnd"/>
      <w:r w:rsidRPr="00743743">
        <w:rPr>
          <w:rFonts w:ascii="Times New Roman" w:hAnsi="Times New Roman"/>
          <w:sz w:val="24"/>
          <w:szCs w:val="24"/>
          <w:lang w:val="ru-RU"/>
        </w:rPr>
        <w:t xml:space="preserve"> от 23 апреля 2009 г. призывают Еврокомиссию внести предложения о включении международного судоходства в рамки обязательств по снижению эмиссий парниковых газов, в случае отсутствия успеха международных переговоров в рамках </w:t>
      </w:r>
      <w:proofErr w:type="spellStart"/>
      <w:r w:rsidRPr="00743743">
        <w:rPr>
          <w:rFonts w:ascii="Times New Roman" w:hAnsi="Times New Roman"/>
          <w:sz w:val="24"/>
          <w:szCs w:val="24"/>
          <w:lang w:val="ru-RU"/>
        </w:rPr>
        <w:t>IMO</w:t>
      </w:r>
      <w:proofErr w:type="spellEnd"/>
      <w:r w:rsidRPr="00743743">
        <w:rPr>
          <w:rFonts w:ascii="Times New Roman" w:hAnsi="Times New Roman"/>
          <w:sz w:val="24"/>
          <w:szCs w:val="24"/>
          <w:lang w:val="ru-RU"/>
        </w:rPr>
        <w:t xml:space="preserve"> и/или Рамочной Конвенции ООН об изменении климата».</w:t>
      </w:r>
      <w:proofErr w:type="gramEnd"/>
    </w:p>
    <w:p w:rsidR="007D6401" w:rsidRPr="004D4384" w:rsidRDefault="007D6401" w:rsidP="007D6401">
      <w:pPr>
        <w:spacing w:after="120" w:line="240" w:lineRule="auto"/>
        <w:ind w:firstLine="567"/>
        <w:jc w:val="both"/>
        <w:rPr>
          <w:rFonts w:ascii="Times New Roman" w:hAnsi="Times New Roman"/>
          <w:sz w:val="24"/>
          <w:szCs w:val="24"/>
          <w:lang w:val="ru-RU"/>
        </w:rPr>
      </w:pPr>
      <w:r w:rsidRPr="00743743">
        <w:rPr>
          <w:rFonts w:ascii="Times New Roman" w:hAnsi="Times New Roman"/>
          <w:sz w:val="24"/>
          <w:szCs w:val="24"/>
          <w:lang w:val="ru-RU"/>
        </w:rPr>
        <w:t xml:space="preserve"> То есть Евросоюз не просто ждет действий в рамках </w:t>
      </w:r>
      <w:proofErr w:type="spellStart"/>
      <w:r w:rsidRPr="00743743">
        <w:rPr>
          <w:rFonts w:ascii="Times New Roman" w:hAnsi="Times New Roman"/>
          <w:sz w:val="24"/>
          <w:szCs w:val="24"/>
          <w:lang w:val="ru-RU"/>
        </w:rPr>
        <w:t>IMO</w:t>
      </w:r>
      <w:proofErr w:type="spellEnd"/>
      <w:r w:rsidRPr="00743743">
        <w:rPr>
          <w:rFonts w:ascii="Times New Roman" w:hAnsi="Times New Roman"/>
          <w:sz w:val="24"/>
          <w:szCs w:val="24"/>
          <w:lang w:val="ru-RU"/>
        </w:rPr>
        <w:t xml:space="preserve">, а активно готовится к разработке и внедрению рыночного регулирования парниковых выбросов морского транспорта в кратчайшие сроки.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На глобальных переговорах в рамках организаций ООН - в первую очередь,  в рамках Международной морской организации, а также Рамочной Конвенции об изменении климата - такого успеха, который удовлетворил бы требованиям Евросоюза,  не предвидится ни в этом, ни в следующем, ни в последующие несколько лет.  На завершившейся в июле с.г. сессии </w:t>
      </w:r>
      <w:proofErr w:type="spellStart"/>
      <w:r w:rsidRPr="004D4384">
        <w:rPr>
          <w:rFonts w:ascii="Times New Roman" w:hAnsi="Times New Roman"/>
          <w:sz w:val="24"/>
          <w:szCs w:val="24"/>
          <w:lang w:val="ru-RU"/>
        </w:rPr>
        <w:t>IMO</w:t>
      </w:r>
      <w:proofErr w:type="spellEnd"/>
      <w:r w:rsidRPr="004D4384">
        <w:rPr>
          <w:rFonts w:ascii="Times New Roman" w:hAnsi="Times New Roman"/>
          <w:sz w:val="24"/>
          <w:szCs w:val="24"/>
          <w:lang w:val="ru-RU"/>
        </w:rPr>
        <w:t xml:space="preserve"> принято решение об обязательном введении в действие т.н. Индекса энергетической эффективности вновь проектируемых судов (</w:t>
      </w:r>
      <w:proofErr w:type="spellStart"/>
      <w:r w:rsidRPr="004D4384">
        <w:rPr>
          <w:rFonts w:ascii="Times New Roman" w:hAnsi="Times New Roman"/>
          <w:sz w:val="24"/>
          <w:szCs w:val="24"/>
          <w:lang w:val="ru-RU"/>
        </w:rPr>
        <w:t>EEDI</w:t>
      </w:r>
      <w:proofErr w:type="spellEnd"/>
      <w:r w:rsidRPr="004D4384">
        <w:rPr>
          <w:rFonts w:ascii="Times New Roman" w:hAnsi="Times New Roman"/>
          <w:sz w:val="24"/>
          <w:szCs w:val="24"/>
          <w:lang w:val="ru-RU"/>
        </w:rPr>
        <w:t xml:space="preserve">) с 2013 года, основанного именно на критерии снижения парниковых выбросов. </w:t>
      </w:r>
      <w:proofErr w:type="gramStart"/>
      <w:r w:rsidRPr="004D4384">
        <w:rPr>
          <w:rFonts w:ascii="Times New Roman" w:hAnsi="Times New Roman"/>
          <w:sz w:val="24"/>
          <w:szCs w:val="24"/>
          <w:lang w:val="ru-RU"/>
        </w:rPr>
        <w:t>В соответствии с этим решением фактические снижения начнутся не ранее 2019 года, так как ряд развивающихся стран во главе с КНР и Бразилией зарезервировали за собой право отложить его выполнение на срок до 6,5 лет, что будет еще сильнее стимулировать переход судов под «удобные» флаги, поэтому удовлетворить требованиям Евросоюза это решение не может.</w:t>
      </w:r>
      <w:proofErr w:type="gramEnd"/>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Формально позиция Евросоюза, заключается в том, что члены ЕС «ожидают от </w:t>
      </w:r>
      <w:proofErr w:type="spellStart"/>
      <w:r w:rsidRPr="004D4384">
        <w:rPr>
          <w:rFonts w:ascii="Times New Roman" w:hAnsi="Times New Roman"/>
          <w:sz w:val="24"/>
          <w:szCs w:val="24"/>
          <w:lang w:val="ru-RU"/>
        </w:rPr>
        <w:t>IMO</w:t>
      </w:r>
      <w:proofErr w:type="spellEnd"/>
      <w:r w:rsidRPr="004D4384">
        <w:rPr>
          <w:rFonts w:ascii="Times New Roman" w:hAnsi="Times New Roman"/>
          <w:sz w:val="24"/>
          <w:szCs w:val="24"/>
          <w:lang w:val="ru-RU"/>
        </w:rPr>
        <w:t xml:space="preserve"> дальнейших мер борьбы с парниковыми выбросами». Фактически же введение одностороннего регулирования парниковых выбросов для всех судов, заходящих порты стран ЕС, а возможно, и проходящих его экономическую зону, с 2013 г. является почти неизбежным.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 xml:space="preserve">Введение рыночного регулирования парниковых выбросов морского судоходства Евросоюзом окажет существенное влияние на этот </w:t>
      </w:r>
      <w:proofErr w:type="spellStart"/>
      <w:r w:rsidRPr="004D4384">
        <w:rPr>
          <w:rFonts w:ascii="Times New Roman" w:hAnsi="Times New Roman"/>
          <w:sz w:val="24"/>
          <w:szCs w:val="24"/>
          <w:lang w:val="ru-RU"/>
        </w:rPr>
        <w:t>высококонкурентный</w:t>
      </w:r>
      <w:proofErr w:type="spellEnd"/>
      <w:r w:rsidRPr="004D4384">
        <w:rPr>
          <w:rFonts w:ascii="Times New Roman" w:hAnsi="Times New Roman"/>
          <w:sz w:val="24"/>
          <w:szCs w:val="24"/>
          <w:lang w:val="ru-RU"/>
        </w:rPr>
        <w:t xml:space="preserve"> транспортный сектор.</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В рабочем документе Еврокомиссии от 8 апреля с.г. «Масштабирование международного финансирования климатических программ»</w:t>
      </w:r>
      <w:r w:rsidRPr="004D4384">
        <w:rPr>
          <w:rStyle w:val="ad"/>
          <w:rFonts w:ascii="Times New Roman" w:hAnsi="Times New Roman"/>
          <w:sz w:val="24"/>
          <w:szCs w:val="24"/>
          <w:lang w:val="ru-RU"/>
        </w:rPr>
        <w:footnoteReference w:id="21"/>
      </w:r>
      <w:r w:rsidRPr="004D4384">
        <w:rPr>
          <w:rFonts w:ascii="Times New Roman" w:hAnsi="Times New Roman"/>
          <w:sz w:val="24"/>
          <w:szCs w:val="24"/>
          <w:lang w:val="ru-RU"/>
        </w:rPr>
        <w:t xml:space="preserve"> допускается, что  авиация и морское судоходство «могут при определенных условиях приносить до 24 млрд. Евро в год при условии, что цена достигнет 50 Евро за тонну CO2». То есть гражданская авиация и морское судоходство рассматриваются в известном смысле как «дойная корова» для финансирования климатических программ.  В недавно выпущенном докладе </w:t>
      </w:r>
      <w:r w:rsidRPr="004D4384">
        <w:rPr>
          <w:rFonts w:ascii="Times New Roman" w:hAnsi="Times New Roman"/>
          <w:sz w:val="24"/>
          <w:szCs w:val="24"/>
        </w:rPr>
        <w:t>Oxfam</w:t>
      </w:r>
      <w:r w:rsidRPr="004D4384">
        <w:rPr>
          <w:rFonts w:ascii="Times New Roman" w:hAnsi="Times New Roman"/>
          <w:sz w:val="24"/>
          <w:szCs w:val="24"/>
          <w:lang w:val="ru-RU"/>
        </w:rPr>
        <w:t xml:space="preserve"> /</w:t>
      </w:r>
      <w:r w:rsidRPr="004D4384">
        <w:rPr>
          <w:rFonts w:ascii="Times New Roman" w:hAnsi="Times New Roman"/>
          <w:sz w:val="24"/>
          <w:szCs w:val="24"/>
        </w:rPr>
        <w:t>WWF</w:t>
      </w:r>
      <w:r w:rsidRPr="004D4384">
        <w:rPr>
          <w:rFonts w:ascii="Times New Roman" w:hAnsi="Times New Roman"/>
          <w:sz w:val="24"/>
          <w:szCs w:val="24"/>
          <w:lang w:val="ru-RU"/>
        </w:rPr>
        <w:t>, который представляет собой яркий пример апологии  изъятия средств у морского судоходства в пользу развивающихся стран, возможный объем таких изъятий оценивается в более чем 25 млрд. Евро при цене за тону СО</w:t>
      </w:r>
      <w:r w:rsidRPr="004D4384">
        <w:rPr>
          <w:rFonts w:ascii="Times New Roman" w:hAnsi="Times New Roman"/>
          <w:sz w:val="24"/>
          <w:szCs w:val="24"/>
          <w:vertAlign w:val="subscript"/>
          <w:lang w:val="ru-RU"/>
        </w:rPr>
        <w:t>2</w:t>
      </w:r>
      <w:r w:rsidRPr="004D4384">
        <w:rPr>
          <w:rFonts w:ascii="Times New Roman" w:hAnsi="Times New Roman"/>
          <w:sz w:val="24"/>
          <w:szCs w:val="24"/>
          <w:lang w:val="ru-RU"/>
        </w:rPr>
        <w:t>-эквивалента, составляющей 25 Евро.</w:t>
      </w:r>
      <w:r w:rsidRPr="004D4384">
        <w:rPr>
          <w:rStyle w:val="ad"/>
          <w:rFonts w:ascii="Times New Roman" w:hAnsi="Times New Roman"/>
          <w:sz w:val="24"/>
          <w:szCs w:val="24"/>
        </w:rPr>
        <w:footnoteReference w:id="22"/>
      </w:r>
      <w:r w:rsidRPr="004D4384">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Таким образом, основные риски введения европейского регулирования для гражданской авиации и морского судоходства заключаются не в ограничении парниковых выбросов вообще, а во введении несправедливой системы, нацеленной на выкачивание максимально возможных средств на цели, не имеющие прямого отношения к повышению энергоэффективности этих секторов, путем обязательного </w:t>
      </w:r>
      <w:proofErr w:type="spellStart"/>
      <w:r w:rsidRPr="004D4384">
        <w:rPr>
          <w:rFonts w:ascii="Times New Roman" w:hAnsi="Times New Roman"/>
          <w:sz w:val="24"/>
          <w:szCs w:val="24"/>
          <w:lang w:val="ru-RU"/>
        </w:rPr>
        <w:t>аукционирования</w:t>
      </w:r>
      <w:proofErr w:type="spellEnd"/>
      <w:r w:rsidRPr="004D4384">
        <w:rPr>
          <w:rFonts w:ascii="Times New Roman" w:hAnsi="Times New Roman"/>
          <w:sz w:val="24"/>
          <w:szCs w:val="24"/>
          <w:lang w:val="ru-RU"/>
        </w:rPr>
        <w:t xml:space="preserve"> значительной части необходимых им разрешений.  Эти риски следует рассматривать как реальные и </w:t>
      </w:r>
      <w:proofErr w:type="spellStart"/>
      <w:r w:rsidRPr="004D4384">
        <w:rPr>
          <w:rFonts w:ascii="Times New Roman" w:hAnsi="Times New Roman"/>
          <w:sz w:val="24"/>
          <w:szCs w:val="24"/>
          <w:lang w:val="ru-RU"/>
        </w:rPr>
        <w:t>ближнесрочные</w:t>
      </w:r>
      <w:proofErr w:type="spellEnd"/>
      <w:r w:rsidRPr="004D4384">
        <w:rPr>
          <w:rFonts w:ascii="Times New Roman" w:hAnsi="Times New Roman"/>
          <w:sz w:val="24"/>
          <w:szCs w:val="24"/>
          <w:lang w:val="ru-RU"/>
        </w:rPr>
        <w:t xml:space="preserve">.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Крупнейшие международные компании, связанные с физическим перемещением больших товарных объемов, уже активно изучают возможности хеджирования риска введения рыночного регулирования для морского транспорта. Так, </w:t>
      </w:r>
      <w:proofErr w:type="spellStart"/>
      <w:r w:rsidRPr="004D4384">
        <w:rPr>
          <w:rFonts w:ascii="Times New Roman" w:hAnsi="Times New Roman"/>
          <w:sz w:val="24"/>
          <w:szCs w:val="24"/>
          <w:lang w:val="ru-RU"/>
        </w:rPr>
        <w:t>Гленкор</w:t>
      </w:r>
      <w:proofErr w:type="spellEnd"/>
      <w:r w:rsidRPr="004D4384">
        <w:rPr>
          <w:rFonts w:ascii="Times New Roman" w:hAnsi="Times New Roman"/>
          <w:sz w:val="24"/>
          <w:szCs w:val="24"/>
          <w:lang w:val="ru-RU"/>
        </w:rPr>
        <w:t xml:space="preserve"> (крупнейший фрахтователь  в глобальных морских перевозках) заявил о том, что изучает варианты компенсации «парникового следа», который оставляет перемещение товаров морским транспортом до того, как будут установлены ограничения и рыночное регулирование.  Это конкретный пример возникновения спроса на рыночные инструменты, применимые в рыночных системах в морском транспорте</w:t>
      </w:r>
      <w:r>
        <w:rPr>
          <w:rFonts w:ascii="Times New Roman" w:hAnsi="Times New Roman"/>
          <w:sz w:val="24"/>
          <w:szCs w:val="24"/>
          <w:lang w:val="ru-RU"/>
        </w:rPr>
        <w:t>, спроса, опережающего собственно появление таких систем</w:t>
      </w:r>
      <w:r w:rsidRPr="004D4384">
        <w:rPr>
          <w:rFonts w:ascii="Times New Roman" w:hAnsi="Times New Roman"/>
          <w:sz w:val="24"/>
          <w:szCs w:val="24"/>
          <w:lang w:val="ru-RU"/>
        </w:rPr>
        <w:t xml:space="preserve">.  </w:t>
      </w:r>
    </w:p>
    <w:p w:rsidR="007D6401" w:rsidRPr="00743743" w:rsidRDefault="007D6401" w:rsidP="007D6401">
      <w:pPr>
        <w:spacing w:after="120" w:line="240" w:lineRule="auto"/>
        <w:ind w:firstLine="567"/>
        <w:jc w:val="both"/>
        <w:rPr>
          <w:rFonts w:ascii="Times New Roman" w:hAnsi="Times New Roman"/>
          <w:sz w:val="24"/>
          <w:szCs w:val="24"/>
          <w:lang w:val="ru-RU"/>
        </w:rPr>
      </w:pPr>
      <w:r w:rsidRPr="00743743">
        <w:rPr>
          <w:rFonts w:ascii="Times New Roman" w:hAnsi="Times New Roman"/>
          <w:sz w:val="24"/>
          <w:szCs w:val="24"/>
          <w:lang w:val="ru-RU"/>
        </w:rPr>
        <w:t>По данным доклада, подготовленного в Дании по заказу Министерства охраны окружающей среды и ядерной безопасности ФРГ в 2010 году, сценарии роста операционных издержек в связи с введением системы торговли эмиссиями для морского транспортного судоходства будут характеризоваться следующими показателями:</w:t>
      </w:r>
    </w:p>
    <w:p w:rsidR="007D6401" w:rsidRPr="00CD6B7D" w:rsidRDefault="007D6401" w:rsidP="007D6401">
      <w:pPr>
        <w:spacing w:after="120" w:line="240" w:lineRule="auto"/>
        <w:ind w:firstLine="567"/>
        <w:jc w:val="both"/>
        <w:rPr>
          <w:rFonts w:ascii="Times New Roman" w:hAnsi="Times New Roman"/>
          <w:i/>
          <w:sz w:val="24"/>
          <w:szCs w:val="24"/>
          <w:lang w:val="ru-RU"/>
        </w:rPr>
      </w:pPr>
      <w:r w:rsidRPr="00CD6B7D">
        <w:rPr>
          <w:rFonts w:ascii="Times New Roman" w:hAnsi="Times New Roman"/>
          <w:i/>
          <w:sz w:val="24"/>
          <w:szCs w:val="24"/>
          <w:lang w:val="ru-RU"/>
        </w:rPr>
        <w:t>предполагая, что эмиссии от сжигания бункерного топлива составляют примерно 3 т CO2 –эквивалента  на 1 т топлива,</w:t>
      </w:r>
    </w:p>
    <w:p w:rsidR="007D6401" w:rsidRPr="00CD6B7D" w:rsidRDefault="007D6401" w:rsidP="007D6401">
      <w:pPr>
        <w:spacing w:after="120" w:line="240" w:lineRule="auto"/>
        <w:ind w:firstLine="567"/>
        <w:jc w:val="both"/>
        <w:rPr>
          <w:rFonts w:ascii="Times New Roman" w:hAnsi="Times New Roman"/>
          <w:i/>
          <w:sz w:val="24"/>
          <w:szCs w:val="24"/>
          <w:lang w:val="ru-RU"/>
        </w:rPr>
      </w:pPr>
      <w:proofErr w:type="gramStart"/>
      <w:r w:rsidRPr="00CD6B7D">
        <w:rPr>
          <w:rFonts w:ascii="Times New Roman" w:hAnsi="Times New Roman"/>
          <w:i/>
          <w:sz w:val="24"/>
          <w:szCs w:val="24"/>
          <w:lang w:val="ru-RU"/>
        </w:rPr>
        <w:t>при минимальной цене 1 т CO</w:t>
      </w:r>
      <w:r w:rsidRPr="00CD6B7D">
        <w:rPr>
          <w:rFonts w:ascii="Times New Roman" w:hAnsi="Times New Roman"/>
          <w:i/>
          <w:sz w:val="24"/>
          <w:szCs w:val="24"/>
          <w:vertAlign w:val="subscript"/>
          <w:lang w:val="ru-RU"/>
        </w:rPr>
        <w:t>2</w:t>
      </w:r>
      <w:r w:rsidRPr="00CD6B7D">
        <w:rPr>
          <w:rFonts w:ascii="Times New Roman" w:hAnsi="Times New Roman"/>
          <w:i/>
          <w:sz w:val="24"/>
          <w:szCs w:val="24"/>
          <w:lang w:val="ru-RU"/>
        </w:rPr>
        <w:t xml:space="preserve"> –эквивалента равной 10 Евро, возможной при условии свободного вхождения на рынок дешевых сокращений, в том числе по «механизму чистого развития» (ст. 12 Киотского протокола) и «либерального» отношения к принципу «дополнительности» (то есть зачета коммерчески привлекательных мероприятий по энергосбережению), рыночная стоимость парниковых квот составит от 9% операционных расходов  для сухогрузов до 33% для контейнеровозов;</w:t>
      </w:r>
      <w:proofErr w:type="gramEnd"/>
    </w:p>
    <w:p w:rsidR="007D6401" w:rsidRPr="00CD6B7D" w:rsidRDefault="007D6401" w:rsidP="007D6401">
      <w:pPr>
        <w:spacing w:after="120" w:line="240" w:lineRule="auto"/>
        <w:ind w:firstLine="567"/>
        <w:jc w:val="both"/>
        <w:rPr>
          <w:rFonts w:ascii="Times New Roman" w:hAnsi="Times New Roman"/>
          <w:i/>
          <w:sz w:val="24"/>
          <w:szCs w:val="24"/>
          <w:lang w:val="ru-RU"/>
        </w:rPr>
      </w:pPr>
      <w:r w:rsidRPr="00CD6B7D">
        <w:rPr>
          <w:rFonts w:ascii="Times New Roman" w:hAnsi="Times New Roman"/>
          <w:i/>
          <w:sz w:val="24"/>
          <w:szCs w:val="24"/>
          <w:lang w:val="ru-RU"/>
        </w:rPr>
        <w:t>при цене 1 т CO</w:t>
      </w:r>
      <w:r w:rsidRPr="00CD6B7D">
        <w:rPr>
          <w:rFonts w:ascii="Times New Roman" w:hAnsi="Times New Roman"/>
          <w:i/>
          <w:sz w:val="24"/>
          <w:szCs w:val="24"/>
          <w:vertAlign w:val="subscript"/>
          <w:lang w:val="ru-RU"/>
        </w:rPr>
        <w:t>2</w:t>
      </w:r>
      <w:r w:rsidRPr="00CD6B7D">
        <w:rPr>
          <w:rFonts w:ascii="Times New Roman" w:hAnsi="Times New Roman"/>
          <w:i/>
          <w:sz w:val="24"/>
          <w:szCs w:val="24"/>
          <w:lang w:val="ru-RU"/>
        </w:rPr>
        <w:t xml:space="preserve"> –эквивалента равной 20 Евро, что представляется наиболее вероятным сценарием, возможным при допуске на рынок сокращений по «механизму чистого развития, строгом соблюдении принципа дополнительности соответствия цен </w:t>
      </w:r>
      <w:r w:rsidRPr="00CD6B7D">
        <w:rPr>
          <w:rFonts w:ascii="Times New Roman" w:hAnsi="Times New Roman"/>
          <w:i/>
          <w:sz w:val="24"/>
          <w:szCs w:val="24"/>
          <w:lang w:val="ru-RU"/>
        </w:rPr>
        <w:lastRenderedPageBreak/>
        <w:t>на квоты рыночным европейским ценам рыночная стоимость парниковых квот составит от 16% операционных расходов  для сухогрузов до 49% для контейнеровозов;</w:t>
      </w:r>
    </w:p>
    <w:p w:rsidR="007D6401" w:rsidRPr="00CD6B7D" w:rsidRDefault="007D6401" w:rsidP="007D6401">
      <w:pPr>
        <w:spacing w:after="120" w:line="240" w:lineRule="auto"/>
        <w:ind w:firstLine="567"/>
        <w:jc w:val="both"/>
        <w:rPr>
          <w:rFonts w:ascii="Times New Roman" w:hAnsi="Times New Roman"/>
          <w:i/>
          <w:sz w:val="24"/>
          <w:szCs w:val="24"/>
          <w:lang w:val="ru-RU"/>
        </w:rPr>
      </w:pPr>
      <w:r w:rsidRPr="00CD6B7D">
        <w:rPr>
          <w:rFonts w:ascii="Times New Roman" w:hAnsi="Times New Roman"/>
          <w:i/>
          <w:sz w:val="24"/>
          <w:szCs w:val="24"/>
          <w:lang w:val="ru-RU"/>
        </w:rPr>
        <w:t>при цене 1 т CO</w:t>
      </w:r>
      <w:r w:rsidRPr="00CD6B7D">
        <w:rPr>
          <w:rFonts w:ascii="Times New Roman" w:hAnsi="Times New Roman"/>
          <w:i/>
          <w:sz w:val="24"/>
          <w:szCs w:val="24"/>
          <w:vertAlign w:val="subscript"/>
          <w:lang w:val="ru-RU"/>
        </w:rPr>
        <w:t>2</w:t>
      </w:r>
      <w:r w:rsidRPr="00CD6B7D">
        <w:rPr>
          <w:rFonts w:ascii="Times New Roman" w:hAnsi="Times New Roman"/>
          <w:i/>
          <w:sz w:val="24"/>
          <w:szCs w:val="24"/>
          <w:lang w:val="ru-RU"/>
        </w:rPr>
        <w:t xml:space="preserve"> –эквивалента равной 30 Евро, что вполне вероятно в результате исключения из числа приемлемых «компенсационных кредитов» третьих стран, в том числе по «механизму чистого развития»,   рыночная стоимость парниковых квот составит от 23% операционных расходов  для сухогрузов до 60% для контейнеровозов;</w:t>
      </w:r>
    </w:p>
    <w:p w:rsidR="007D6401" w:rsidRPr="00CD6B7D" w:rsidRDefault="007D6401" w:rsidP="007D6401">
      <w:pPr>
        <w:spacing w:after="120" w:line="240" w:lineRule="auto"/>
        <w:ind w:firstLine="567"/>
        <w:jc w:val="both"/>
        <w:rPr>
          <w:rFonts w:ascii="Times New Roman" w:hAnsi="Times New Roman"/>
          <w:i/>
          <w:sz w:val="24"/>
          <w:szCs w:val="24"/>
          <w:lang w:val="ru-RU"/>
        </w:rPr>
      </w:pPr>
      <w:r w:rsidRPr="00CD6B7D">
        <w:rPr>
          <w:rFonts w:ascii="Times New Roman" w:hAnsi="Times New Roman"/>
          <w:i/>
          <w:sz w:val="24"/>
          <w:szCs w:val="24"/>
          <w:lang w:val="ru-RU"/>
        </w:rPr>
        <w:t>наиболее пессимистичный, но вероятный сценарий, при котором морское транспортное судоходство рассматривается как одна из «дойных коров» для финансирования адаптационных климатических программ для поддержки развивающихся стран, цена 1 т CO</w:t>
      </w:r>
      <w:r w:rsidRPr="00CD6B7D">
        <w:rPr>
          <w:rFonts w:ascii="Times New Roman" w:hAnsi="Times New Roman"/>
          <w:i/>
          <w:sz w:val="24"/>
          <w:szCs w:val="24"/>
          <w:vertAlign w:val="subscript"/>
          <w:lang w:val="ru-RU"/>
        </w:rPr>
        <w:t>2</w:t>
      </w:r>
      <w:r w:rsidRPr="00CD6B7D">
        <w:rPr>
          <w:rFonts w:ascii="Times New Roman" w:hAnsi="Times New Roman"/>
          <w:i/>
          <w:sz w:val="24"/>
          <w:szCs w:val="24"/>
          <w:lang w:val="ru-RU"/>
        </w:rPr>
        <w:t xml:space="preserve"> –эквивалента может составить 50 Евро. При этом рыночная стоимость парниковых квот составит от 33% операционных расходов  для сухогрузов до 71% для контейнеровозов.</w:t>
      </w:r>
    </w:p>
    <w:p w:rsidR="007D6401" w:rsidRDefault="007D6401" w:rsidP="007D6401">
      <w:pPr>
        <w:spacing w:after="120" w:line="240" w:lineRule="auto"/>
        <w:ind w:firstLine="567"/>
        <w:jc w:val="both"/>
        <w:rPr>
          <w:rFonts w:ascii="Times New Roman" w:eastAsia="Times New Roman" w:hAnsi="Times New Roman"/>
          <w:sz w:val="24"/>
          <w:szCs w:val="24"/>
          <w:lang w:val="ru-RU"/>
        </w:rPr>
      </w:pPr>
      <w:r w:rsidRPr="004D4384">
        <w:rPr>
          <w:rFonts w:ascii="Times New Roman" w:eastAsia="Times New Roman" w:hAnsi="Times New Roman"/>
          <w:sz w:val="24"/>
          <w:szCs w:val="24"/>
          <w:lang w:val="ru-RU"/>
        </w:rPr>
        <w:t>В целом экспертные заключения, подготовленные по заказу стан – членов ЕС, приводят к выводу о том, что ведение системы торговли парниковыми эмиссиями для морского транспорта (</w:t>
      </w:r>
      <w:r w:rsidRPr="004D4384">
        <w:rPr>
          <w:rFonts w:ascii="Times New Roman" w:eastAsia="Times New Roman" w:hAnsi="Times New Roman"/>
          <w:sz w:val="24"/>
          <w:szCs w:val="24"/>
        </w:rPr>
        <w:t>METS</w:t>
      </w:r>
      <w:r w:rsidRPr="004D4384">
        <w:rPr>
          <w:rFonts w:ascii="Times New Roman" w:eastAsia="Times New Roman" w:hAnsi="Times New Roman"/>
          <w:sz w:val="24"/>
          <w:szCs w:val="24"/>
          <w:lang w:val="ru-RU"/>
        </w:rPr>
        <w:t xml:space="preserve">) не окажет существенного влияния ни на внешнюю торговлю, ни на другие экономические показатели. </w:t>
      </w:r>
    </w:p>
    <w:p w:rsidR="007D6401" w:rsidRPr="004D4384" w:rsidRDefault="007D6401" w:rsidP="007D6401">
      <w:pPr>
        <w:spacing w:after="120" w:line="240" w:lineRule="auto"/>
        <w:ind w:firstLine="567"/>
        <w:jc w:val="both"/>
        <w:rPr>
          <w:rFonts w:ascii="Times New Roman" w:eastAsia="Times New Roman" w:hAnsi="Times New Roman"/>
          <w:sz w:val="24"/>
          <w:szCs w:val="24"/>
          <w:lang w:val="ru-RU"/>
        </w:rPr>
      </w:pPr>
      <w:proofErr w:type="gramStart"/>
      <w:r w:rsidRPr="004D4384">
        <w:rPr>
          <w:rFonts w:ascii="Times New Roman" w:eastAsia="Times New Roman" w:hAnsi="Times New Roman"/>
          <w:sz w:val="24"/>
          <w:szCs w:val="24"/>
          <w:lang w:val="ru-RU"/>
        </w:rPr>
        <w:t>Серьезное негативное влияние введение системы окажет на небольшие судоходные компании и компании с устаревшим флотом и низкими характеристиками энергоэффективности из-за относительно большой удельной углеродоемкости их операций, что может привести к их разорению или слияниям.</w:t>
      </w:r>
      <w:r w:rsidRPr="004D4384">
        <w:rPr>
          <w:rStyle w:val="ad"/>
          <w:rFonts w:ascii="Times New Roman" w:eastAsia="Times New Roman" w:hAnsi="Times New Roman"/>
          <w:sz w:val="24"/>
          <w:szCs w:val="24"/>
          <w:lang w:val="ru-RU"/>
        </w:rPr>
        <w:footnoteReference w:id="23"/>
      </w:r>
      <w:r w:rsidRPr="004D4384">
        <w:rPr>
          <w:rFonts w:ascii="Times New Roman" w:eastAsia="Times New Roman" w:hAnsi="Times New Roman"/>
          <w:sz w:val="24"/>
          <w:szCs w:val="24"/>
          <w:lang w:val="ru-RU"/>
        </w:rPr>
        <w:t xml:space="preserve"> </w:t>
      </w:r>
      <w:proofErr w:type="gramEnd"/>
    </w:p>
    <w:p w:rsidR="007D6401" w:rsidRDefault="007D6401" w:rsidP="007D6401">
      <w:pPr>
        <w:spacing w:after="120" w:line="240" w:lineRule="auto"/>
        <w:ind w:firstLine="567"/>
        <w:jc w:val="both"/>
        <w:rPr>
          <w:rFonts w:ascii="Times New Roman" w:eastAsia="Times New Roman" w:hAnsi="Times New Roman"/>
          <w:sz w:val="24"/>
          <w:szCs w:val="24"/>
          <w:lang w:val="ru-RU"/>
        </w:rPr>
      </w:pPr>
      <w:r w:rsidRPr="004D4384">
        <w:rPr>
          <w:rFonts w:ascii="Times New Roman" w:eastAsia="Times New Roman" w:hAnsi="Times New Roman"/>
          <w:sz w:val="24"/>
          <w:szCs w:val="24"/>
          <w:lang w:val="ru-RU"/>
        </w:rPr>
        <w:t>К</w:t>
      </w:r>
      <w:r>
        <w:rPr>
          <w:rFonts w:ascii="Times New Roman" w:eastAsia="Times New Roman" w:hAnsi="Times New Roman"/>
          <w:sz w:val="24"/>
          <w:szCs w:val="24"/>
          <w:lang w:val="ru-RU"/>
        </w:rPr>
        <w:t>роме того, если для авиакомпаний</w:t>
      </w:r>
      <w:r w:rsidRPr="004D4384">
        <w:rPr>
          <w:rFonts w:ascii="Times New Roman" w:eastAsia="Times New Roman" w:hAnsi="Times New Roman"/>
          <w:sz w:val="24"/>
          <w:szCs w:val="24"/>
          <w:lang w:val="ru-RU"/>
        </w:rPr>
        <w:t xml:space="preserve"> неадекватность их технологической политики грядущим рыночным отношениям уже неактуальна, так как время для маркетизации технических мероприятий прошлого периода упущено, то для морского флота эта проблема, по существу, определяет ответ на вопрос: улучшат ли технические мероприятия положение на будущем рынке или ухудшат?</w:t>
      </w:r>
    </w:p>
    <w:p w:rsidR="007D6401" w:rsidRDefault="007D6401" w:rsidP="007D6401">
      <w:pPr>
        <w:spacing w:after="12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Этот вопрос в сочетании с известными невысокими техническими характеристиками отечественного морского флота звучит особенно остро в условиях нарастающей рецессии отрасли при сохранении высоких цен на бункерное топливо.</w:t>
      </w:r>
    </w:p>
    <w:p w:rsidR="007D6401" w:rsidRPr="004D4384" w:rsidRDefault="007D6401" w:rsidP="007D6401">
      <w:pPr>
        <w:spacing w:after="120" w:line="240" w:lineRule="auto"/>
        <w:ind w:firstLine="567"/>
        <w:jc w:val="both"/>
        <w:rPr>
          <w:rFonts w:ascii="Times New Roman" w:hAnsi="Times New Roman"/>
          <w:sz w:val="24"/>
          <w:szCs w:val="24"/>
          <w:lang w:val="ru-RU"/>
        </w:rPr>
      </w:pPr>
      <w:r>
        <w:rPr>
          <w:rFonts w:ascii="Times New Roman" w:eastAsia="Times New Roman" w:hAnsi="Times New Roman"/>
          <w:sz w:val="24"/>
          <w:szCs w:val="24"/>
          <w:lang w:val="ru-RU"/>
        </w:rPr>
        <w:t xml:space="preserve">Это требует принятия срочных мер по повышению энергоэффективности судоходства, энергосбережению. А если эти меры будут приняты, то сниженное потребление топлива и, соответственно, сниженные уровни парниковых эмиссий и послужат в ближайшем будущем «базовой линией» для ограничения и дальнейшего снижения уровня их парниковых выбросов. </w:t>
      </w:r>
    </w:p>
    <w:p w:rsidR="007D6401" w:rsidRPr="004D4384" w:rsidRDefault="007D6401" w:rsidP="007D6401">
      <w:pPr>
        <w:spacing w:after="120" w:line="240" w:lineRule="auto"/>
        <w:ind w:firstLine="567"/>
        <w:jc w:val="both"/>
        <w:rPr>
          <w:rFonts w:ascii="Times New Roman" w:hAnsi="Times New Roman"/>
          <w:sz w:val="24"/>
          <w:szCs w:val="24"/>
          <w:lang w:val="ru-RU"/>
        </w:rPr>
      </w:pPr>
      <w:proofErr w:type="gramStart"/>
      <w:r w:rsidRPr="004D4384">
        <w:rPr>
          <w:rFonts w:ascii="Times New Roman" w:hAnsi="Times New Roman"/>
          <w:sz w:val="24"/>
          <w:szCs w:val="24"/>
          <w:lang w:val="ru-RU"/>
        </w:rPr>
        <w:t>При том</w:t>
      </w:r>
      <w:proofErr w:type="gramEnd"/>
      <w:r w:rsidRPr="004D4384">
        <w:rPr>
          <w:rFonts w:ascii="Times New Roman" w:hAnsi="Times New Roman"/>
          <w:sz w:val="24"/>
          <w:szCs w:val="24"/>
          <w:lang w:val="ru-RU"/>
        </w:rPr>
        <w:t xml:space="preserve">, что в целом политика Евросоюза соответствует декларируемым целям снижения глобальных выбросов парниковых газов, фактические действия показывают, что одновременно важнейшую роль играет стремление восполнить дефицит средств на выполнение финансовых обязательств перед развивающимися странами. По своему практическому значению </w:t>
      </w:r>
      <w:r>
        <w:rPr>
          <w:rFonts w:ascii="Times New Roman" w:hAnsi="Times New Roman"/>
          <w:sz w:val="24"/>
          <w:szCs w:val="24"/>
          <w:lang w:val="ru-RU"/>
        </w:rPr>
        <w:t xml:space="preserve">последнее </w:t>
      </w:r>
      <w:r w:rsidRPr="004D4384">
        <w:rPr>
          <w:rFonts w:ascii="Times New Roman" w:hAnsi="Times New Roman"/>
          <w:sz w:val="24"/>
          <w:szCs w:val="24"/>
          <w:lang w:val="ru-RU"/>
        </w:rPr>
        <w:t xml:space="preserve"> намерение едва ли не превосходит стремление снизить глобальные парниковые выбросы.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Фактически внерыночные изъятия в пользу развивающихся стран и на другие направления, причем в отсутствии прозрачного и понятного механизма освоения изъятых средств – общая и неотъемлемая черта рыночного регулирования выбросов парниковых газов, которое применяется и планируется к применению в отношении России извне.</w:t>
      </w:r>
    </w:p>
    <w:p w:rsidR="007D6401" w:rsidRDefault="007D6401" w:rsidP="007D6401">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lastRenderedPageBreak/>
        <w:t xml:space="preserve">Не столь велика доля морского транспорта и авиации в глобальных парниковых эмиссиях. Она еще менее значительна, если говорить о морском транспорте России и российских эмиссиях. Но тесная взаимосвязь этих секторов с другими, особенно морского транспорта, позволяет рассматривать их в качестве </w:t>
      </w:r>
      <w:r>
        <w:rPr>
          <w:rFonts w:ascii="Times New Roman" w:hAnsi="Times New Roman"/>
          <w:sz w:val="24"/>
          <w:szCs w:val="24"/>
          <w:lang w:val="ru-RU"/>
        </w:rPr>
        <w:t>«</w:t>
      </w:r>
      <w:r w:rsidRPr="00E14A7E">
        <w:rPr>
          <w:rFonts w:ascii="Times New Roman" w:hAnsi="Times New Roman"/>
          <w:sz w:val="24"/>
          <w:szCs w:val="24"/>
          <w:lang w:val="ru-RU"/>
        </w:rPr>
        <w:t>спускового механизма</w:t>
      </w:r>
      <w:r>
        <w:rPr>
          <w:rFonts w:ascii="Times New Roman" w:hAnsi="Times New Roman"/>
          <w:sz w:val="24"/>
          <w:szCs w:val="24"/>
          <w:lang w:val="ru-RU"/>
        </w:rPr>
        <w:t>»</w:t>
      </w:r>
      <w:r w:rsidRPr="00E14A7E">
        <w:rPr>
          <w:rFonts w:ascii="Times New Roman" w:hAnsi="Times New Roman"/>
          <w:sz w:val="24"/>
          <w:szCs w:val="24"/>
          <w:lang w:val="ru-RU"/>
        </w:rPr>
        <w:t xml:space="preserve"> для распространения </w:t>
      </w:r>
      <w:r>
        <w:rPr>
          <w:rFonts w:ascii="Times New Roman" w:hAnsi="Times New Roman"/>
          <w:sz w:val="24"/>
          <w:szCs w:val="24"/>
          <w:lang w:val="ru-RU"/>
        </w:rPr>
        <w:t>регулирования</w:t>
      </w:r>
      <w:r w:rsidRPr="00E14A7E">
        <w:rPr>
          <w:rFonts w:ascii="Times New Roman" w:hAnsi="Times New Roman"/>
          <w:sz w:val="24"/>
          <w:szCs w:val="24"/>
          <w:lang w:val="ru-RU"/>
        </w:rPr>
        <w:t xml:space="preserve"> и на другие предприятия и отрасли. </w:t>
      </w:r>
    </w:p>
    <w:p w:rsidR="007D6401" w:rsidRDefault="007D6401" w:rsidP="007D6401">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t>Так</w:t>
      </w:r>
      <w:r>
        <w:rPr>
          <w:rFonts w:ascii="Times New Roman" w:hAnsi="Times New Roman"/>
          <w:sz w:val="24"/>
          <w:szCs w:val="24"/>
          <w:lang w:val="ru-RU"/>
        </w:rPr>
        <w:t>,</w:t>
      </w:r>
      <w:r w:rsidRPr="00E14A7E">
        <w:rPr>
          <w:rFonts w:ascii="Times New Roman" w:hAnsi="Times New Roman"/>
          <w:sz w:val="24"/>
          <w:szCs w:val="24"/>
          <w:lang w:val="ru-RU"/>
        </w:rPr>
        <w:t xml:space="preserve"> </w:t>
      </w:r>
      <w:r>
        <w:rPr>
          <w:rFonts w:ascii="Times New Roman" w:hAnsi="Times New Roman"/>
          <w:sz w:val="24"/>
          <w:szCs w:val="24"/>
          <w:lang w:val="ru-RU"/>
        </w:rPr>
        <w:t>регулирование</w:t>
      </w:r>
      <w:r w:rsidRPr="00E14A7E">
        <w:rPr>
          <w:rFonts w:ascii="Times New Roman" w:hAnsi="Times New Roman"/>
          <w:sz w:val="24"/>
          <w:szCs w:val="24"/>
          <w:lang w:val="ru-RU"/>
        </w:rPr>
        <w:t xml:space="preserve"> парниковых выбросов для авиации и морского транспорта напрямую затрагивает интересы поставщиков топлива. Казалось бы, последние заинтересованы в том, чтобы такого нормирования вообще не было, но (объективно) более интересная для них коммерческая перспектива связана с “</w:t>
      </w:r>
      <w:proofErr w:type="spellStart"/>
      <w:r w:rsidRPr="00E14A7E">
        <w:rPr>
          <w:rFonts w:ascii="Times New Roman" w:hAnsi="Times New Roman"/>
          <w:sz w:val="24"/>
          <w:szCs w:val="24"/>
          <w:lang w:val="ru-RU"/>
        </w:rPr>
        <w:t>углеродонейтральными</w:t>
      </w:r>
      <w:proofErr w:type="spellEnd"/>
      <w:r w:rsidRPr="00E14A7E">
        <w:rPr>
          <w:rFonts w:ascii="Times New Roman" w:hAnsi="Times New Roman"/>
          <w:sz w:val="24"/>
          <w:szCs w:val="24"/>
          <w:lang w:val="ru-RU"/>
        </w:rPr>
        <w:t xml:space="preserve">” поставками. </w:t>
      </w:r>
    </w:p>
    <w:p w:rsidR="007D6401" w:rsidRDefault="007D6401" w:rsidP="007D6401">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t>Не нуждается в пояснении (объективная) заинтересованность</w:t>
      </w:r>
      <w:r>
        <w:rPr>
          <w:rFonts w:ascii="Times New Roman" w:hAnsi="Times New Roman"/>
          <w:sz w:val="24"/>
          <w:szCs w:val="24"/>
          <w:lang w:val="ru-RU"/>
        </w:rPr>
        <w:t xml:space="preserve"> в парниковом регулировании </w:t>
      </w:r>
      <w:proofErr w:type="spellStart"/>
      <w:r>
        <w:rPr>
          <w:rFonts w:ascii="Times New Roman" w:hAnsi="Times New Roman"/>
          <w:sz w:val="24"/>
          <w:szCs w:val="24"/>
          <w:lang w:val="ru-RU"/>
        </w:rPr>
        <w:t>морфлота</w:t>
      </w:r>
      <w:proofErr w:type="spellEnd"/>
      <w:r w:rsidRPr="00E14A7E">
        <w:rPr>
          <w:rFonts w:ascii="Times New Roman" w:hAnsi="Times New Roman"/>
          <w:sz w:val="24"/>
          <w:szCs w:val="24"/>
          <w:lang w:val="ru-RU"/>
        </w:rPr>
        <w:t xml:space="preserve"> портов, производителей и экспортеров металла, угля, руды и т.д.</w:t>
      </w:r>
    </w:p>
    <w:p w:rsidR="007D6401" w:rsidRDefault="007D6401" w:rsidP="007D6401">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t xml:space="preserve"> Для инвесторов проектов «совместного осуществления», возобновляемой энергетики, проектов энергоэффективности, климатических проектов введение такого </w:t>
      </w:r>
      <w:r>
        <w:rPr>
          <w:rFonts w:ascii="Times New Roman" w:hAnsi="Times New Roman"/>
          <w:sz w:val="24"/>
          <w:szCs w:val="24"/>
          <w:lang w:val="ru-RU"/>
        </w:rPr>
        <w:t>регулирования</w:t>
      </w:r>
      <w:r w:rsidRPr="00E14A7E">
        <w:rPr>
          <w:rFonts w:ascii="Times New Roman" w:hAnsi="Times New Roman"/>
          <w:sz w:val="24"/>
          <w:szCs w:val="24"/>
          <w:lang w:val="ru-RU"/>
        </w:rPr>
        <w:t xml:space="preserve"> открывало бы хоть какую-то перспективу в их безрадостном настоящем.</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 xml:space="preserve">ЕС намерен жестко поставить вопрос </w:t>
      </w:r>
      <w:proofErr w:type="gramStart"/>
      <w:r w:rsidRPr="000C10C8">
        <w:rPr>
          <w:rFonts w:ascii="Times New Roman" w:hAnsi="Times New Roman"/>
          <w:sz w:val="24"/>
          <w:szCs w:val="24"/>
          <w:lang w:val="ru-RU"/>
        </w:rPr>
        <w:t>о введении системы регулирования парниковых эмиссий для морского транспортного судоходства на очередной климатической конференции в Дурбане в конце</w:t>
      </w:r>
      <w:proofErr w:type="gramEnd"/>
      <w:r w:rsidRPr="000C10C8">
        <w:rPr>
          <w:rFonts w:ascii="Times New Roman" w:hAnsi="Times New Roman"/>
          <w:sz w:val="24"/>
          <w:szCs w:val="24"/>
          <w:lang w:val="ru-RU"/>
        </w:rPr>
        <w:t xml:space="preserve"> этого года.</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 xml:space="preserve">Коль скоро избежать регулирования и вхождения в рыночную систему торговли парниковыми эмиссиями российскому морскому судоходству не удастся, вероятно, следует воспользоваться советами для тех, кто попал в сильное течение или в водоворот, то есть не плыть против течения, а нырнуть глубже и искать то течение, которое выносит на поверхность. </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 xml:space="preserve">Входить в рынок лучше на своих, а не на навязанных условиях, как это случилось с авиаперевозчиками. И это возвращает нас к «инициативе» министра транспорта РФ И. Левитина ввести нечто аналогичное тому, что ввела Европа. То есть систему торговли эмиссиями парниковых газов. </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 xml:space="preserve">При этом Евросоюз будет не только вынужден учитывать эту систему, но и, скорее всего, будет ее приветствовать и помогать ее развивать. И ничто не обязывает Россию ограничить масштабы системы только лишь выбросами непосредственно с авиа и морских транспортных средств. </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Даже если включить в рамки торговой системы инфраструктуру морских портов и соответствующих транспортных узлов, то с одной стороны, возникнет источник относительно дешевых квот для морского транспорта, с другой, источник финансирования модернизации отсталой инфраструктуры.</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Но следовало бы пойти и еще дальше. Крупнейшими потребителями услуг морского транспорта являются весьма энергоемкие компании, в том числе производящие и экспортирующие, например, уголь, черные и цветные металлы. Эти компании не только имеют возможность осуществлять крупные проекты по повышению энергоэффективности, снижению выбросов, но и уже осуществляют их. Позволив им участвовать в системе торговли, мы получаем уже масштаб серьезного административного эксперимента по внедрению внутренней российской системы торговли парниковыми эмиссиями – универсального инструмента снижения энергоемкости экономики, повышения ее энергоэффективности. А это уже не Киотский протокол, который на самом деле может завершить свое существование в 2012 году. Это система торговли всерьез и надолго, торговли товаром, который пользуется и будет пользоваться спросом, если его качество надлежащим образом сертифицировано.</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lastRenderedPageBreak/>
        <w:t>В способности России сертифицировать сокращения выбросов, в первую очередь связанные с экспортом, с производством и транспортировкой, и заключалась бы та готовность экспортеров, о которой говорил Президент</w:t>
      </w:r>
      <w:r>
        <w:rPr>
          <w:rFonts w:ascii="Times New Roman" w:hAnsi="Times New Roman"/>
          <w:sz w:val="24"/>
          <w:szCs w:val="24"/>
          <w:lang w:val="ru-RU"/>
        </w:rPr>
        <w:t xml:space="preserve"> на заседании Комиссии по модернизации в июне 2011 г</w:t>
      </w:r>
      <w:r w:rsidRPr="000C10C8">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sidRPr="000C10C8">
        <w:rPr>
          <w:rFonts w:ascii="Times New Roman" w:hAnsi="Times New Roman"/>
          <w:sz w:val="24"/>
          <w:szCs w:val="24"/>
          <w:lang w:val="ru-RU"/>
        </w:rPr>
        <w:t xml:space="preserve">И </w:t>
      </w:r>
      <w:proofErr w:type="gramStart"/>
      <w:r w:rsidRPr="000C10C8">
        <w:rPr>
          <w:rFonts w:ascii="Times New Roman" w:hAnsi="Times New Roman"/>
          <w:sz w:val="24"/>
          <w:szCs w:val="24"/>
          <w:lang w:val="ru-RU"/>
        </w:rPr>
        <w:t>европейская</w:t>
      </w:r>
      <w:proofErr w:type="gramEnd"/>
      <w:r w:rsidRPr="000C10C8">
        <w:rPr>
          <w:rFonts w:ascii="Times New Roman" w:hAnsi="Times New Roman"/>
          <w:sz w:val="24"/>
          <w:szCs w:val="24"/>
          <w:lang w:val="ru-RU"/>
        </w:rPr>
        <w:t>, и все другие системы торговли эмиссиями парниковых газов имеют «шлюзы» или, по крайней мере, параметры «шлюзов» для входа компенсационных кредитов (</w:t>
      </w:r>
      <w:r>
        <w:rPr>
          <w:rFonts w:ascii="Times New Roman" w:hAnsi="Times New Roman"/>
          <w:sz w:val="24"/>
          <w:szCs w:val="24"/>
        </w:rPr>
        <w:t>off</w:t>
      </w:r>
      <w:r w:rsidRPr="00BE5E9D">
        <w:rPr>
          <w:rFonts w:ascii="Times New Roman" w:hAnsi="Times New Roman"/>
          <w:sz w:val="24"/>
          <w:szCs w:val="24"/>
          <w:lang w:val="ru-RU"/>
        </w:rPr>
        <w:t>-</w:t>
      </w:r>
      <w:r>
        <w:rPr>
          <w:rFonts w:ascii="Times New Roman" w:hAnsi="Times New Roman"/>
          <w:sz w:val="24"/>
          <w:szCs w:val="24"/>
        </w:rPr>
        <w:t>set</w:t>
      </w:r>
      <w:r w:rsidRPr="00BE5E9D">
        <w:rPr>
          <w:rFonts w:ascii="Times New Roman" w:hAnsi="Times New Roman"/>
          <w:sz w:val="24"/>
          <w:szCs w:val="24"/>
          <w:lang w:val="ru-RU"/>
        </w:rPr>
        <w:t xml:space="preserve"> </w:t>
      </w:r>
      <w:r>
        <w:rPr>
          <w:rFonts w:ascii="Times New Roman" w:hAnsi="Times New Roman"/>
          <w:sz w:val="24"/>
          <w:szCs w:val="24"/>
        </w:rPr>
        <w:t>credits</w:t>
      </w:r>
      <w:r w:rsidRPr="000C10C8">
        <w:rPr>
          <w:rFonts w:ascii="Times New Roman" w:hAnsi="Times New Roman"/>
          <w:sz w:val="24"/>
          <w:szCs w:val="24"/>
          <w:lang w:val="ru-RU"/>
        </w:rPr>
        <w:t>) извне. И если взглянуть на проблемы авиаперевозчиков и будущие проблемы морского транспорта с этой точки зрения, то следует не искать способы борьбы с Евросоюзом, а использовать предоставленные возможность выхода на новый рынок, на котором нам в потенциале нет равных. Надо только выстроить «шлюз» соответствующий внешним параметрам со своей стороны.</w:t>
      </w:r>
      <w:r>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Р</w:t>
      </w:r>
      <w:r w:rsidRPr="000C10C8">
        <w:rPr>
          <w:rFonts w:ascii="Times New Roman" w:hAnsi="Times New Roman"/>
          <w:sz w:val="24"/>
          <w:szCs w:val="24"/>
          <w:lang w:val="ru-RU"/>
        </w:rPr>
        <w:t>ешения Евросоюза, основанные на принципах международной вежливости, признания соответствующих обычаев и законов другой стороны, вводят потенциальный механизм зачета сокращений, достигнутых вне пределов ЕС. Решение о Разделении усилий (</w:t>
      </w:r>
      <w:proofErr w:type="spellStart"/>
      <w:r w:rsidRPr="000C10C8">
        <w:rPr>
          <w:rFonts w:ascii="Times New Roman" w:hAnsi="Times New Roman"/>
          <w:sz w:val="24"/>
          <w:szCs w:val="24"/>
          <w:lang w:val="ru-RU"/>
        </w:rPr>
        <w:t>Effort</w:t>
      </w:r>
      <w:proofErr w:type="spellEnd"/>
      <w:r w:rsidRPr="000C10C8">
        <w:rPr>
          <w:rFonts w:ascii="Times New Roman" w:hAnsi="Times New Roman"/>
          <w:sz w:val="24"/>
          <w:szCs w:val="24"/>
          <w:lang w:val="ru-RU"/>
        </w:rPr>
        <w:t xml:space="preserve"> </w:t>
      </w:r>
      <w:proofErr w:type="spellStart"/>
      <w:r w:rsidRPr="000C10C8">
        <w:rPr>
          <w:rFonts w:ascii="Times New Roman" w:hAnsi="Times New Roman"/>
          <w:sz w:val="24"/>
          <w:szCs w:val="24"/>
          <w:lang w:val="ru-RU"/>
        </w:rPr>
        <w:t>Sharing</w:t>
      </w:r>
      <w:proofErr w:type="spellEnd"/>
      <w:r w:rsidRPr="000C10C8">
        <w:rPr>
          <w:rFonts w:ascii="Times New Roman" w:hAnsi="Times New Roman"/>
          <w:sz w:val="24"/>
          <w:szCs w:val="24"/>
          <w:lang w:val="ru-RU"/>
        </w:rPr>
        <w:t xml:space="preserve"> </w:t>
      </w:r>
      <w:proofErr w:type="spellStart"/>
      <w:r w:rsidRPr="000C10C8">
        <w:rPr>
          <w:rFonts w:ascii="Times New Roman" w:hAnsi="Times New Roman"/>
          <w:sz w:val="24"/>
          <w:szCs w:val="24"/>
          <w:lang w:val="ru-RU"/>
        </w:rPr>
        <w:t>Decision</w:t>
      </w:r>
      <w:proofErr w:type="spellEnd"/>
      <w:r w:rsidRPr="000C10C8">
        <w:rPr>
          <w:rFonts w:ascii="Times New Roman" w:hAnsi="Times New Roman"/>
          <w:sz w:val="24"/>
          <w:szCs w:val="24"/>
          <w:lang w:val="ru-RU"/>
        </w:rPr>
        <w:t xml:space="preserve">, ст.24a </w:t>
      </w:r>
      <w:proofErr w:type="spellStart"/>
      <w:r w:rsidRPr="000C10C8">
        <w:rPr>
          <w:rFonts w:ascii="Times New Roman" w:hAnsi="Times New Roman"/>
          <w:sz w:val="24"/>
          <w:szCs w:val="24"/>
          <w:lang w:val="ru-RU"/>
        </w:rPr>
        <w:t>EU</w:t>
      </w:r>
      <w:proofErr w:type="spellEnd"/>
      <w:r w:rsidRPr="000C10C8">
        <w:rPr>
          <w:rFonts w:ascii="Times New Roman" w:hAnsi="Times New Roman"/>
          <w:sz w:val="24"/>
          <w:szCs w:val="24"/>
          <w:lang w:val="ru-RU"/>
        </w:rPr>
        <w:t xml:space="preserve"> </w:t>
      </w:r>
      <w:proofErr w:type="spellStart"/>
      <w:r w:rsidRPr="000C10C8">
        <w:rPr>
          <w:rFonts w:ascii="Times New Roman" w:hAnsi="Times New Roman"/>
          <w:sz w:val="24"/>
          <w:szCs w:val="24"/>
          <w:lang w:val="ru-RU"/>
        </w:rPr>
        <w:t>ETS</w:t>
      </w:r>
      <w:proofErr w:type="spellEnd"/>
      <w:r w:rsidRPr="000C10C8">
        <w:rPr>
          <w:rFonts w:ascii="Times New Roman" w:hAnsi="Times New Roman"/>
          <w:sz w:val="24"/>
          <w:szCs w:val="24"/>
          <w:lang w:val="ru-RU"/>
        </w:rPr>
        <w:t>) в рамках регулирования системы торговли парниковыми эмиссиями Евросоюза в ближайшем будущем может стать основой для канала поступления компенсационных кредитов (сертифицированных сокращений парниковых выбросов) на европейский рынок.</w:t>
      </w:r>
    </w:p>
    <w:p w:rsidR="007D6401" w:rsidRDefault="007D6401" w:rsidP="007D6401">
      <w:pPr>
        <w:spacing w:after="120" w:line="240" w:lineRule="auto"/>
        <w:ind w:firstLine="567"/>
        <w:jc w:val="both"/>
        <w:rPr>
          <w:rFonts w:ascii="Times New Roman" w:hAnsi="Times New Roman"/>
          <w:sz w:val="24"/>
          <w:szCs w:val="24"/>
          <w:lang w:val="ru-RU"/>
        </w:rPr>
      </w:pPr>
      <w:proofErr w:type="gramStart"/>
      <w:r w:rsidRPr="000C10C8">
        <w:rPr>
          <w:rFonts w:ascii="Times New Roman" w:hAnsi="Times New Roman"/>
          <w:sz w:val="24"/>
          <w:szCs w:val="24"/>
          <w:lang w:val="ru-RU"/>
        </w:rPr>
        <w:t>Следует заметить, что, если это условие (создание рыночной среды) не будет выполнено, то какие бы мероприятия ни проводила страна, предприятие или авиа или судоходная компания, их результаты не будут зачтены в рамках рыночной системы и приведут только к потенциальному снижению исходного уровня разрешенных эмиссий, то есть к ухудшению положения на рынке.</w:t>
      </w:r>
      <w:proofErr w:type="gramEnd"/>
      <w:r w:rsidRPr="000C10C8">
        <w:rPr>
          <w:rFonts w:ascii="Times New Roman" w:hAnsi="Times New Roman"/>
          <w:sz w:val="24"/>
          <w:szCs w:val="24"/>
          <w:lang w:val="ru-RU"/>
        </w:rPr>
        <w:t xml:space="preserve"> Именно это и произошло с российскими авиаперевозчиками. </w:t>
      </w:r>
    </w:p>
    <w:p w:rsidR="007D6401" w:rsidRDefault="007D6401" w:rsidP="007D6401">
      <w:pPr>
        <w:spacing w:after="120" w:line="240" w:lineRule="auto"/>
        <w:ind w:firstLine="567"/>
        <w:jc w:val="both"/>
        <w:rPr>
          <w:rFonts w:ascii="Times New Roman" w:hAnsi="Times New Roman"/>
          <w:sz w:val="24"/>
          <w:szCs w:val="24"/>
          <w:lang w:val="ru-RU"/>
        </w:rPr>
      </w:pPr>
      <w:proofErr w:type="gramStart"/>
      <w:r w:rsidRPr="000C10C8">
        <w:rPr>
          <w:rFonts w:ascii="Times New Roman" w:hAnsi="Times New Roman"/>
          <w:sz w:val="24"/>
          <w:szCs w:val="24"/>
          <w:lang w:val="ru-RU"/>
        </w:rPr>
        <w:t>Понятно, что внутренний рынок торговли парниковыми эмиссиями в России не может быть введен в одночасье президентским указом как ни полезен он был бы и с экологической, и с энергетической, и с общеэкономической точек зрения.</w:t>
      </w:r>
      <w:proofErr w:type="gramEnd"/>
      <w:r w:rsidRPr="000C10C8">
        <w:rPr>
          <w:rFonts w:ascii="Times New Roman" w:hAnsi="Times New Roman"/>
          <w:sz w:val="24"/>
          <w:szCs w:val="24"/>
          <w:lang w:val="ru-RU"/>
        </w:rPr>
        <w:t xml:space="preserve"> </w:t>
      </w:r>
      <w:proofErr w:type="gramStart"/>
      <w:r w:rsidRPr="000C10C8">
        <w:rPr>
          <w:rFonts w:ascii="Times New Roman" w:hAnsi="Times New Roman"/>
          <w:sz w:val="24"/>
          <w:szCs w:val="24"/>
          <w:lang w:val="ru-RU"/>
        </w:rPr>
        <w:t>Но</w:t>
      </w:r>
      <w:proofErr w:type="gramEnd"/>
      <w:r w:rsidRPr="000C10C8">
        <w:rPr>
          <w:rFonts w:ascii="Times New Roman" w:hAnsi="Times New Roman"/>
          <w:sz w:val="24"/>
          <w:szCs w:val="24"/>
          <w:lang w:val="ru-RU"/>
        </w:rPr>
        <w:t xml:space="preserve"> то положение, в котором невольно оказались авиаперевозчики, а скоро окажется и морской транспорт, хороший повод для проведения административного эксперимента по введению рыночного механизма для парниковых эмиссий.</w:t>
      </w:r>
    </w:p>
    <w:p w:rsidR="007D6401" w:rsidRDefault="007D6401" w:rsidP="007D6401">
      <w:pPr>
        <w:spacing w:after="120" w:line="240" w:lineRule="auto"/>
        <w:ind w:firstLine="567"/>
        <w:jc w:val="both"/>
        <w:rPr>
          <w:rFonts w:ascii="Times New Roman" w:hAnsi="Times New Roman"/>
          <w:sz w:val="24"/>
          <w:szCs w:val="24"/>
          <w:lang w:val="ru-RU"/>
        </w:rPr>
      </w:pPr>
      <w:r w:rsidRPr="00845280">
        <w:rPr>
          <w:rFonts w:ascii="Times New Roman" w:hAnsi="Times New Roman"/>
          <w:sz w:val="24"/>
          <w:szCs w:val="24"/>
          <w:lang w:val="ru-RU"/>
        </w:rPr>
        <w:t>В этой ситуации варианты реагирования на реальные коммерческие риски вовлечения российских судоходных компаний в европейскую систему торговли в самом общем виде могут быть следующими:</w:t>
      </w:r>
    </w:p>
    <w:p w:rsidR="007D6401" w:rsidRDefault="007D6401" w:rsidP="007D6401">
      <w:pPr>
        <w:spacing w:after="120" w:line="240" w:lineRule="auto"/>
        <w:ind w:firstLine="567"/>
        <w:jc w:val="both"/>
        <w:rPr>
          <w:rFonts w:ascii="Times New Roman" w:hAnsi="Times New Roman"/>
          <w:sz w:val="24"/>
          <w:szCs w:val="24"/>
          <w:lang w:val="ru-RU"/>
        </w:rPr>
      </w:pPr>
      <w:r w:rsidRPr="00845280">
        <w:rPr>
          <w:rFonts w:ascii="Times New Roman" w:hAnsi="Times New Roman"/>
          <w:sz w:val="24"/>
          <w:szCs w:val="24"/>
          <w:lang w:val="ru-RU"/>
        </w:rPr>
        <w:t>1. Путем создания системы сертификации «компенсационных кредитов» (сокращений приемлемых по условиям внешних углеродных рынков, в первую очередь, европейского)</w:t>
      </w:r>
    </w:p>
    <w:p w:rsidR="007D6401" w:rsidRDefault="007D6401" w:rsidP="007D6401">
      <w:pPr>
        <w:spacing w:after="120" w:line="240" w:lineRule="auto"/>
        <w:ind w:firstLine="567"/>
        <w:jc w:val="both"/>
        <w:rPr>
          <w:rFonts w:ascii="Times New Roman" w:hAnsi="Times New Roman"/>
          <w:sz w:val="24"/>
          <w:szCs w:val="24"/>
          <w:lang w:val="ru-RU"/>
        </w:rPr>
      </w:pPr>
      <w:r w:rsidRPr="00845280">
        <w:rPr>
          <w:rFonts w:ascii="Times New Roman" w:hAnsi="Times New Roman"/>
          <w:sz w:val="24"/>
          <w:szCs w:val="24"/>
          <w:lang w:val="ru-RU"/>
        </w:rPr>
        <w:t xml:space="preserve"> 2. Путем организации административного эксперимента по «раннему кредитованию» (зачету результатов «пилотных» мероприятий).</w:t>
      </w:r>
    </w:p>
    <w:p w:rsidR="007D6401" w:rsidRDefault="007D6401" w:rsidP="007D6401">
      <w:pPr>
        <w:spacing w:after="120" w:line="240" w:lineRule="auto"/>
        <w:ind w:firstLine="567"/>
        <w:jc w:val="both"/>
        <w:rPr>
          <w:rFonts w:ascii="Times New Roman" w:hAnsi="Times New Roman"/>
          <w:sz w:val="24"/>
          <w:szCs w:val="24"/>
          <w:lang w:val="ru-RU"/>
        </w:rPr>
      </w:pPr>
      <w:r w:rsidRPr="00845280">
        <w:rPr>
          <w:rFonts w:ascii="Times New Roman" w:hAnsi="Times New Roman"/>
          <w:sz w:val="24"/>
          <w:szCs w:val="24"/>
          <w:lang w:val="ru-RU"/>
        </w:rPr>
        <w:t>В своей основе они схожи и могут существенно облегчить условия для российских судовладельцев и фрахтователей, а возможно и перевести часть из них из разряда покупателей квот, в разряд продавцов. Те же принципы международного взаимного признания обычаев, законов и прав не позволят ЕС игнорировать существование в России той или иной системы контроля выбросов парниковых газов от морских источников.</w:t>
      </w:r>
    </w:p>
    <w:p w:rsidR="007D6401" w:rsidRPr="003D5F30" w:rsidRDefault="007D6401" w:rsidP="007D6401">
      <w:pPr>
        <w:spacing w:after="120" w:line="240" w:lineRule="auto"/>
        <w:ind w:firstLine="567"/>
        <w:jc w:val="both"/>
        <w:rPr>
          <w:rFonts w:ascii="Times New Roman" w:hAnsi="Times New Roman"/>
          <w:sz w:val="24"/>
          <w:szCs w:val="24"/>
          <w:lang w:val="ru-RU"/>
        </w:rPr>
      </w:pPr>
      <w:r w:rsidRPr="00845280">
        <w:rPr>
          <w:rFonts w:ascii="Times New Roman" w:hAnsi="Times New Roman"/>
          <w:sz w:val="24"/>
          <w:szCs w:val="24"/>
          <w:lang w:val="ru-RU"/>
        </w:rPr>
        <w:t xml:space="preserve">Выполнение этих предложений как минимум даст основания требовать приемлемого уровня разрешенных (бесплатных) лимитов эмиссий для российских судов при включении их в европейскую систему торговли, то есть сэкономить существенную часть будущих операционных издержек, как максимум позволит привлечь финансирование мероприятий </w:t>
      </w:r>
      <w:r w:rsidRPr="00845280">
        <w:rPr>
          <w:rFonts w:ascii="Times New Roman" w:hAnsi="Times New Roman"/>
          <w:sz w:val="24"/>
          <w:szCs w:val="24"/>
          <w:lang w:val="ru-RU"/>
        </w:rPr>
        <w:lastRenderedPageBreak/>
        <w:t>по повышению энергоэффективности и снижению парниковых выбросов с внешних «углеродных» рынков.</w:t>
      </w:r>
    </w:p>
    <w:p w:rsidR="007D6401" w:rsidRPr="004B4E7D"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На данный момент все эти аргументы не произвели на российских судовладельцев никакого впечатления, и Союз российских судовладельцев решительно отказался даже от обсуждения возможных внутренних мер.  </w:t>
      </w:r>
    </w:p>
    <w:p w:rsidR="007D6401" w:rsidRPr="00845280" w:rsidRDefault="007D6401" w:rsidP="007D6401">
      <w:pPr>
        <w:spacing w:after="120" w:line="240" w:lineRule="auto"/>
        <w:ind w:firstLine="567"/>
        <w:jc w:val="both"/>
        <w:rPr>
          <w:rFonts w:ascii="Times New Roman" w:hAnsi="Times New Roman"/>
          <w:sz w:val="24"/>
          <w:szCs w:val="24"/>
          <w:lang w:val="ru-RU"/>
        </w:rPr>
      </w:pPr>
    </w:p>
    <w:p w:rsidR="007D6401" w:rsidRPr="000A5002" w:rsidRDefault="007D6401" w:rsidP="007D6401">
      <w:pPr>
        <w:spacing w:after="120" w:line="240" w:lineRule="auto"/>
        <w:rPr>
          <w:rFonts w:ascii="Times New Roman" w:hAnsi="Times New Roman"/>
          <w:b/>
          <w:i/>
          <w:sz w:val="24"/>
          <w:szCs w:val="24"/>
          <w:lang w:val="ru-RU"/>
        </w:rPr>
      </w:pPr>
      <w:r w:rsidRPr="000A5002">
        <w:rPr>
          <w:rFonts w:ascii="Times New Roman" w:hAnsi="Times New Roman"/>
          <w:b/>
          <w:i/>
          <w:sz w:val="24"/>
          <w:szCs w:val="24"/>
          <w:lang w:val="ru-RU"/>
        </w:rPr>
        <w:t xml:space="preserve"> Металлургия</w:t>
      </w:r>
    </w:p>
    <w:p w:rsidR="007D6401" w:rsidRPr="004D4384" w:rsidRDefault="007D6401" w:rsidP="007D6401">
      <w:p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 xml:space="preserve">Металлургическая промышленность относится к отраслям экономики, </w:t>
      </w:r>
      <w:proofErr w:type="gramStart"/>
      <w:r w:rsidRPr="004D4384">
        <w:rPr>
          <w:rFonts w:ascii="Times New Roman" w:hAnsi="Times New Roman"/>
          <w:sz w:val="24"/>
          <w:lang w:val="ru-RU"/>
        </w:rPr>
        <w:t>подверженных</w:t>
      </w:r>
      <w:proofErr w:type="gramEnd"/>
      <w:r w:rsidRPr="004D4384">
        <w:rPr>
          <w:rFonts w:ascii="Times New Roman" w:hAnsi="Times New Roman"/>
          <w:sz w:val="24"/>
          <w:lang w:val="ru-RU"/>
        </w:rPr>
        <w:t xml:space="preserve"> сильному воздействию климатической политики.</w:t>
      </w:r>
      <w:r w:rsidRPr="00EB5802">
        <w:rPr>
          <w:rStyle w:val="ad"/>
          <w:rFonts w:ascii="Times New Roman" w:hAnsi="Times New Roman"/>
          <w:sz w:val="24"/>
          <w:szCs w:val="24"/>
          <w:lang w:val="ru-RU"/>
        </w:rPr>
        <w:footnoteReference w:id="24"/>
      </w:r>
      <w:r w:rsidRPr="000A5002">
        <w:rPr>
          <w:rStyle w:val="ad"/>
          <w:szCs w:val="24"/>
          <w:lang w:val="ru-RU"/>
        </w:rPr>
        <w:t xml:space="preserve"> </w:t>
      </w:r>
      <w:r w:rsidRPr="004D4384">
        <w:rPr>
          <w:rFonts w:ascii="Times New Roman" w:hAnsi="Times New Roman"/>
          <w:sz w:val="24"/>
          <w:lang w:val="ru-RU"/>
        </w:rPr>
        <w:t>В результате ограничения выбросов парниковых газов в Европейском Союзе отмечены следующие негативные тенденции для металлургии:</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 xml:space="preserve">ухудшение условий конкуренции, </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вывод произво</w:t>
      </w:r>
      <w:proofErr w:type="gramStart"/>
      <w:r w:rsidRPr="004D4384">
        <w:rPr>
          <w:rFonts w:ascii="Times New Roman" w:hAnsi="Times New Roman"/>
          <w:sz w:val="24"/>
          <w:lang w:val="ru-RU"/>
        </w:rPr>
        <w:t>дств в р</w:t>
      </w:r>
      <w:proofErr w:type="gramEnd"/>
      <w:r w:rsidRPr="004D4384">
        <w:rPr>
          <w:rFonts w:ascii="Times New Roman" w:hAnsi="Times New Roman"/>
          <w:sz w:val="24"/>
          <w:lang w:val="ru-RU"/>
        </w:rPr>
        <w:t xml:space="preserve">азвивающиеся страны, </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 xml:space="preserve">ограничение возможности увеличения мощностей и строительства новых заводов, </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снижение объемов производства.</w:t>
      </w:r>
    </w:p>
    <w:p w:rsidR="007D6401" w:rsidRPr="004D4384" w:rsidRDefault="007D6401" w:rsidP="007D6401">
      <w:p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Европейские ученые</w:t>
      </w:r>
      <w:r w:rsidRPr="004D4384">
        <w:rPr>
          <w:rStyle w:val="ad"/>
          <w:rFonts w:ascii="Times New Roman" w:hAnsi="Times New Roman"/>
          <w:sz w:val="24"/>
          <w:lang w:val="ru-RU"/>
        </w:rPr>
        <w:footnoteReference w:id="25"/>
      </w:r>
      <w:r w:rsidRPr="004D4384">
        <w:rPr>
          <w:rFonts w:ascii="Times New Roman" w:hAnsi="Times New Roman"/>
          <w:sz w:val="24"/>
          <w:lang w:val="ru-RU"/>
        </w:rPr>
        <w:t xml:space="preserve"> отмечают, что предприятия черной металлургии в Европейском Союзе достигли практически предельного уровня энергоэффективности и дальнейшее снижение выбросов ограничено применяемыми технологиями производства. В связи с этим, многие ученые, европейские металлургические компании и отраслевые институты (например, </w:t>
      </w:r>
      <w:proofErr w:type="spellStart"/>
      <w:r w:rsidRPr="004D4384">
        <w:rPr>
          <w:rFonts w:ascii="Times New Roman" w:hAnsi="Times New Roman"/>
          <w:sz w:val="24"/>
          <w:lang w:val="ru-RU"/>
        </w:rPr>
        <w:t>World</w:t>
      </w:r>
      <w:proofErr w:type="spellEnd"/>
      <w:r w:rsidRPr="004D4384">
        <w:rPr>
          <w:rFonts w:ascii="Times New Roman" w:hAnsi="Times New Roman"/>
          <w:sz w:val="24"/>
          <w:lang w:val="ru-RU"/>
        </w:rPr>
        <w:t xml:space="preserve"> </w:t>
      </w:r>
      <w:proofErr w:type="spellStart"/>
      <w:r w:rsidRPr="004D4384">
        <w:rPr>
          <w:rFonts w:ascii="Times New Roman" w:hAnsi="Times New Roman"/>
          <w:sz w:val="24"/>
          <w:lang w:val="ru-RU"/>
        </w:rPr>
        <w:t>Steel</w:t>
      </w:r>
      <w:proofErr w:type="spellEnd"/>
      <w:r w:rsidRPr="004D4384">
        <w:rPr>
          <w:rFonts w:ascii="Times New Roman" w:hAnsi="Times New Roman"/>
          <w:sz w:val="24"/>
          <w:lang w:val="ru-RU"/>
        </w:rPr>
        <w:t xml:space="preserve"> </w:t>
      </w:r>
      <w:proofErr w:type="spellStart"/>
      <w:r w:rsidRPr="004D4384">
        <w:rPr>
          <w:rFonts w:ascii="Times New Roman" w:hAnsi="Times New Roman"/>
          <w:sz w:val="24"/>
          <w:lang w:val="ru-RU"/>
        </w:rPr>
        <w:t>Association</w:t>
      </w:r>
      <w:proofErr w:type="spellEnd"/>
      <w:r w:rsidRPr="004D4384">
        <w:rPr>
          <w:rFonts w:ascii="Times New Roman" w:hAnsi="Times New Roman"/>
          <w:sz w:val="24"/>
          <w:lang w:val="ru-RU"/>
        </w:rPr>
        <w:t>) связывают перспективы регулирования выбросов парниковых газов в металлургической промышленности с развитием комплексного межотраслевого и международного подхода к ограничению выбросов парниковых газов, включающего:</w:t>
      </w:r>
      <w:r w:rsidRPr="004D4384">
        <w:rPr>
          <w:rStyle w:val="ad"/>
          <w:rFonts w:ascii="Times New Roman" w:hAnsi="Times New Roman"/>
          <w:sz w:val="24"/>
          <w:lang w:val="ru-RU"/>
        </w:rPr>
        <w:footnoteReference w:id="26"/>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формирование единых условий по ограничению выбросов для предприятий черной металлургии во всех регионах мира (секторальные ограничения выбросов);</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применение механизмов совместного осуществления проектов и чистого развития вместо национального распределения разрешений на выбросы;</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 xml:space="preserve">установление ограничений с учетом технической </w:t>
      </w:r>
      <w:bookmarkStart w:id="0" w:name="_GoBack"/>
      <w:bookmarkEnd w:id="0"/>
      <w:r w:rsidRPr="004D4384">
        <w:rPr>
          <w:rFonts w:ascii="Times New Roman" w:hAnsi="Times New Roman"/>
          <w:sz w:val="24"/>
          <w:lang w:val="ru-RU"/>
        </w:rPr>
        <w:t>и технологической возможности их достижения;</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учет использования побочных продуктов металлургии в других отраслях (например, цементной и энергетической промышленности);</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учет жизненного цикла металлопродукции;</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lastRenderedPageBreak/>
        <w:t>разработку новых материалов и технологий для снижения потребления металла и увеличения срока его использования;</w:t>
      </w:r>
    </w:p>
    <w:p w:rsidR="007D6401" w:rsidRPr="004D4384" w:rsidRDefault="007D6401" w:rsidP="007D6401">
      <w:pPr>
        <w:numPr>
          <w:ilvl w:val="0"/>
          <w:numId w:val="8"/>
        </w:num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передачу технологий развивающимся странам для сокращения выбросов парниковых газов.</w:t>
      </w:r>
    </w:p>
    <w:p w:rsidR="007D6401" w:rsidRPr="004D4384" w:rsidRDefault="007D6401" w:rsidP="007D6401">
      <w:p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 xml:space="preserve">Таким образом, металлургия может быть рассмотрена как </w:t>
      </w:r>
      <w:r w:rsidRPr="004D4384">
        <w:rPr>
          <w:rFonts w:ascii="Times New Roman" w:hAnsi="Times New Roman"/>
          <w:b/>
          <w:i/>
          <w:sz w:val="24"/>
          <w:lang w:val="ru-RU"/>
        </w:rPr>
        <w:t>отрасль с высоким риском</w:t>
      </w:r>
      <w:r w:rsidRPr="004D4384">
        <w:rPr>
          <w:rFonts w:ascii="Times New Roman" w:hAnsi="Times New Roman"/>
          <w:sz w:val="24"/>
          <w:lang w:val="ru-RU"/>
        </w:rPr>
        <w:t xml:space="preserve"> введения экспортных ограничений со стороны Европейского Союза и секторального регулирования.</w:t>
      </w:r>
    </w:p>
    <w:p w:rsidR="007D6401" w:rsidRPr="004D4384" w:rsidRDefault="007D6401" w:rsidP="007D6401">
      <w:pPr>
        <w:spacing w:after="120" w:line="240" w:lineRule="auto"/>
        <w:ind w:firstLine="567"/>
        <w:jc w:val="both"/>
        <w:rPr>
          <w:rFonts w:ascii="Times New Roman" w:hAnsi="Times New Roman"/>
          <w:sz w:val="24"/>
          <w:lang w:val="ru-RU"/>
        </w:rPr>
      </w:pPr>
      <w:proofErr w:type="gramStart"/>
      <w:r w:rsidRPr="004D4384">
        <w:rPr>
          <w:rFonts w:ascii="Times New Roman" w:hAnsi="Times New Roman"/>
          <w:sz w:val="24"/>
          <w:lang w:val="ru-RU"/>
        </w:rPr>
        <w:t>Перспективы развития металлургической промышленности России характеризуются увеличением объемов производства, например к 2020 г. производство готового проката составит 72-80 млн. т в год при этом экспорт продукции составит 22 млн. т в год или 27,5-30,5%.</w:t>
      </w:r>
      <w:r w:rsidRPr="00DF5B6A">
        <w:rPr>
          <w:rStyle w:val="ad"/>
          <w:rFonts w:ascii="Times New Roman" w:hAnsi="Times New Roman"/>
          <w:sz w:val="24"/>
          <w:lang w:val="ru-RU"/>
        </w:rPr>
        <w:footnoteReference w:id="27"/>
      </w:r>
      <w:r w:rsidRPr="00DF5B6A">
        <w:rPr>
          <w:rFonts w:ascii="Times New Roman" w:hAnsi="Times New Roman"/>
          <w:sz w:val="24"/>
          <w:vertAlign w:val="superscript"/>
          <w:lang w:val="ru-RU"/>
        </w:rPr>
        <w:t xml:space="preserve"> </w:t>
      </w:r>
      <w:r w:rsidRPr="004D4384">
        <w:rPr>
          <w:rFonts w:ascii="Times New Roman" w:hAnsi="Times New Roman"/>
          <w:sz w:val="24"/>
          <w:lang w:val="ru-RU"/>
        </w:rPr>
        <w:t>Поэтому введение экспортных ограничений со стороны Европейского Союза может привести к сдерживанию развития базовой отрасли экономики России.</w:t>
      </w:r>
      <w:proofErr w:type="gramEnd"/>
    </w:p>
    <w:p w:rsidR="007D6401" w:rsidRDefault="007D6401" w:rsidP="007D6401">
      <w:pPr>
        <w:spacing w:after="120" w:line="240" w:lineRule="auto"/>
        <w:ind w:firstLine="567"/>
        <w:jc w:val="both"/>
        <w:rPr>
          <w:rFonts w:ascii="Times New Roman" w:hAnsi="Times New Roman"/>
          <w:sz w:val="24"/>
          <w:lang w:val="ru-RU"/>
        </w:rPr>
      </w:pPr>
      <w:r w:rsidRPr="004D4384">
        <w:rPr>
          <w:rFonts w:ascii="Times New Roman" w:hAnsi="Times New Roman"/>
          <w:sz w:val="24"/>
          <w:lang w:val="ru-RU"/>
        </w:rPr>
        <w:t>Выполненный сравнительный анализ выбросов парниковых газов в черной металлургии России и стран мира показывает, что на сегодняшний день удельные выбросы в черной металлургии России составляют около 1,75 тСО</w:t>
      </w:r>
      <w:proofErr w:type="gramStart"/>
      <w:r w:rsidRPr="004D4384">
        <w:rPr>
          <w:rFonts w:ascii="Times New Roman" w:hAnsi="Times New Roman"/>
          <w:sz w:val="24"/>
          <w:lang w:val="ru-RU"/>
        </w:rPr>
        <w:t>2</w:t>
      </w:r>
      <w:proofErr w:type="gramEnd"/>
      <w:r w:rsidRPr="004D4384">
        <w:rPr>
          <w:rFonts w:ascii="Times New Roman" w:hAnsi="Times New Roman"/>
          <w:sz w:val="24"/>
          <w:lang w:val="ru-RU"/>
        </w:rPr>
        <w:t>/т стали, что более чем на 53% превышает средний уровень индустриально развитых стан (1,14 тСО2/т стали).</w:t>
      </w:r>
      <w:r w:rsidRPr="005F3C99">
        <w:rPr>
          <w:vertAlign w:val="superscript"/>
        </w:rPr>
        <w:footnoteReference w:id="28"/>
      </w:r>
      <w:r w:rsidRPr="005F3C99">
        <w:rPr>
          <w:rFonts w:ascii="Times New Roman" w:hAnsi="Times New Roman"/>
          <w:sz w:val="24"/>
          <w:vertAlign w:val="superscript"/>
          <w:lang w:val="ru-RU"/>
        </w:rPr>
        <w:t xml:space="preserve"> </w:t>
      </w:r>
      <w:r w:rsidRPr="004D4384">
        <w:rPr>
          <w:rFonts w:ascii="Times New Roman" w:hAnsi="Times New Roman"/>
          <w:sz w:val="24"/>
          <w:lang w:val="ru-RU"/>
        </w:rPr>
        <w:t xml:space="preserve">Таким образом, в случае применения экспортных ограничений или секторальных механизмов регулирования выбросов многие предприятия металлургической промышленности </w:t>
      </w:r>
      <w:proofErr w:type="gramStart"/>
      <w:r w:rsidRPr="004D4384">
        <w:rPr>
          <w:rFonts w:ascii="Times New Roman" w:hAnsi="Times New Roman"/>
          <w:sz w:val="24"/>
          <w:lang w:val="ru-RU"/>
        </w:rPr>
        <w:t>России</w:t>
      </w:r>
      <w:proofErr w:type="gramEnd"/>
      <w:r w:rsidRPr="004D4384">
        <w:rPr>
          <w:rFonts w:ascii="Times New Roman" w:hAnsi="Times New Roman"/>
          <w:sz w:val="24"/>
          <w:lang w:val="ru-RU"/>
        </w:rPr>
        <w:t xml:space="preserve"> с учетом существующего технико-технологического состояния могут оказаться неконкурентоспособными. Реализация крупных инвестиционных проектов по модернизации и повышению энергоэффективности металлургических предприятий обеспечит сохранение позиций металлургической промышленности России на мировом рынке. При этом введение цены на «парниковую» составляющую таких проектов существенно улучшит их финансово-экономические показатели (внутреннюю норму доходности и чистую приведенную стоимость)</w:t>
      </w:r>
      <w:r>
        <w:rPr>
          <w:rFonts w:ascii="Times New Roman" w:hAnsi="Times New Roman"/>
          <w:sz w:val="24"/>
          <w:lang w:val="ru-RU"/>
        </w:rPr>
        <w:t>.</w:t>
      </w:r>
    </w:p>
    <w:p w:rsidR="007D6401" w:rsidRPr="004D4384" w:rsidRDefault="007D6401" w:rsidP="007D6401">
      <w:pPr>
        <w:spacing w:after="120" w:line="240" w:lineRule="auto"/>
        <w:ind w:firstLine="567"/>
        <w:jc w:val="both"/>
        <w:rPr>
          <w:rFonts w:ascii="Times New Roman" w:hAnsi="Times New Roman"/>
          <w:sz w:val="24"/>
          <w:lang w:val="ru-RU"/>
        </w:rPr>
      </w:pPr>
      <w:r>
        <w:rPr>
          <w:rFonts w:ascii="Times New Roman" w:hAnsi="Times New Roman"/>
          <w:sz w:val="24"/>
          <w:lang w:val="ru-RU"/>
        </w:rPr>
        <w:t xml:space="preserve">Металлургия предоставляет один из наиболее ярких примеров российского </w:t>
      </w:r>
      <w:proofErr w:type="spellStart"/>
      <w:r>
        <w:rPr>
          <w:rFonts w:ascii="Times New Roman" w:hAnsi="Times New Roman"/>
          <w:sz w:val="24"/>
          <w:lang w:val="ru-RU"/>
        </w:rPr>
        <w:t>углеродоемкого</w:t>
      </w:r>
      <w:proofErr w:type="spellEnd"/>
      <w:r>
        <w:rPr>
          <w:rFonts w:ascii="Times New Roman" w:hAnsi="Times New Roman"/>
          <w:sz w:val="24"/>
          <w:lang w:val="ru-RU"/>
        </w:rPr>
        <w:t xml:space="preserve"> экспорта и возможности существенно усилить внешнеторговые позиции, в том числе и путем реализации модели </w:t>
      </w:r>
      <w:proofErr w:type="spellStart"/>
      <w:r>
        <w:rPr>
          <w:rFonts w:ascii="Times New Roman" w:hAnsi="Times New Roman"/>
          <w:sz w:val="24"/>
          <w:lang w:val="ru-RU"/>
        </w:rPr>
        <w:t>углеродонейтральных</w:t>
      </w:r>
      <w:proofErr w:type="spellEnd"/>
      <w:r>
        <w:rPr>
          <w:rFonts w:ascii="Times New Roman" w:hAnsi="Times New Roman"/>
          <w:sz w:val="24"/>
          <w:lang w:val="ru-RU"/>
        </w:rPr>
        <w:t xml:space="preserve"> поставок. Это тем более имеет смысл, поскольку переход металлургического предприятия на новый технологический уровень требует значительного времени и капиталовложений. </w:t>
      </w:r>
    </w:p>
    <w:p w:rsidR="007D6401" w:rsidRPr="004D4384" w:rsidRDefault="007D6401" w:rsidP="007D6401">
      <w:pPr>
        <w:spacing w:after="120" w:line="240" w:lineRule="auto"/>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Цементная промышленность</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По данным Международного энергетического агентства наибольший потенциал энергосбережения в глобальном масштабе сосредоточен в производстве цемента (480-520 млн. т СО2-эквивалента), химическом производстве (370-470 млн. т), металлургии (220-360 млн. т). Именно этих производителей можно признать наиболее уязвимыми для потенциальных протекционистских мер, наиболее вероятными объектами давления экономического характера. За ними следуют целлюлозно-бумажное производство и производство алюминия и цветных металлов. Из этих секторов в меньшей степени подвержены риску те, экспорт которых сосредоточен в странах «ближнего» зарубежья, а не в развитых станах Запада.</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 xml:space="preserve">В российской цементной промышленности сосредоточен огромный потенциал сокращений выбросов парниковых газов, энергоэффективности, энергосбережения и практически отсутствуют стимулы для использования этого потенциала. При суммарной производственной мощности цементных заводов более 70 млн. т цемента в год, преобладающим является «мокрый» способ производства (85%), который и останется преобладающим на годы, если не на десятилетия без мер регулирования и стимулов модернизации. Глобальный потенциал энергосбережения в цементной промышленности в среднем достигает 28-33%, а России еще выше,  т.е. превышает потенциал энергосбережения любой другой отрасли.  Энергоемкость, а, следовательно, и углеродоемкость производства цемента в России существенно выше, чем в большинстве стран мира и российские показатели располагаются ближе к верхней границе «вилки» средних показателей интенсивности выбросов углекислого газа по странам, которые составляют от 0,65 до 0,92 тонны на тонну цемента. При этом, как и в прочих случаях, парниковые эмиссии сопровождаются выбросами множества вредных, нормируемых  веществ. </w:t>
      </w:r>
      <w:proofErr w:type="gramStart"/>
      <w:r w:rsidRPr="004D4384">
        <w:rPr>
          <w:rFonts w:ascii="Times New Roman" w:hAnsi="Times New Roman"/>
          <w:sz w:val="24"/>
          <w:szCs w:val="24"/>
          <w:lang w:val="ru-RU"/>
        </w:rPr>
        <w:t>В Центральном федеральном округе цементные заводы попадают в лидеры крупнейших источников выбросов загрязняющих веществ в атмосферу в Московской, Белгородской и Брянской областях.</w:t>
      </w:r>
      <w:r w:rsidRPr="004D4384">
        <w:rPr>
          <w:rStyle w:val="ad"/>
          <w:rFonts w:ascii="Times New Roman" w:hAnsi="Times New Roman"/>
          <w:sz w:val="24"/>
          <w:szCs w:val="24"/>
          <w:lang w:val="ru-RU"/>
        </w:rPr>
        <w:footnoteReference w:id="29"/>
      </w:r>
      <w:proofErr w:type="gramEnd"/>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Пример компании </w:t>
      </w:r>
      <w:proofErr w:type="spellStart"/>
      <w:r w:rsidRPr="004D4384">
        <w:rPr>
          <w:rFonts w:ascii="Times New Roman" w:hAnsi="Times New Roman"/>
          <w:sz w:val="24"/>
          <w:szCs w:val="24"/>
          <w:lang w:val="ru-RU"/>
        </w:rPr>
        <w:t>Lafarge</w:t>
      </w:r>
      <w:proofErr w:type="spellEnd"/>
      <w:r w:rsidRPr="004D4384">
        <w:rPr>
          <w:rFonts w:ascii="Times New Roman" w:hAnsi="Times New Roman"/>
          <w:sz w:val="24"/>
          <w:szCs w:val="24"/>
          <w:lang w:val="ru-RU"/>
        </w:rPr>
        <w:t xml:space="preserve"> (в России </w:t>
      </w:r>
      <w:proofErr w:type="gramStart"/>
      <w:r w:rsidRPr="004D4384">
        <w:rPr>
          <w:rFonts w:ascii="Times New Roman" w:hAnsi="Times New Roman"/>
          <w:sz w:val="24"/>
          <w:szCs w:val="24"/>
          <w:lang w:val="ru-RU"/>
        </w:rPr>
        <w:t>представлена</w:t>
      </w:r>
      <w:proofErr w:type="gramEnd"/>
      <w:r w:rsidRPr="004D4384">
        <w:rPr>
          <w:rFonts w:ascii="Times New Roman" w:hAnsi="Times New Roman"/>
          <w:sz w:val="24"/>
          <w:szCs w:val="24"/>
          <w:lang w:val="ru-RU"/>
        </w:rPr>
        <w:t xml:space="preserve"> предприятиями «</w:t>
      </w:r>
      <w:proofErr w:type="spellStart"/>
      <w:r w:rsidRPr="004D4384">
        <w:rPr>
          <w:rFonts w:ascii="Times New Roman" w:hAnsi="Times New Roman"/>
          <w:sz w:val="24"/>
          <w:szCs w:val="24"/>
          <w:lang w:val="ru-RU"/>
        </w:rPr>
        <w:t>Воскресенскцемент</w:t>
      </w:r>
      <w:proofErr w:type="spellEnd"/>
      <w:r w:rsidRPr="004D4384">
        <w:rPr>
          <w:rFonts w:ascii="Times New Roman" w:hAnsi="Times New Roman"/>
          <w:sz w:val="24"/>
          <w:szCs w:val="24"/>
          <w:lang w:val="ru-RU"/>
        </w:rPr>
        <w:t>», «</w:t>
      </w:r>
      <w:proofErr w:type="spellStart"/>
      <w:r w:rsidRPr="004D4384">
        <w:rPr>
          <w:rFonts w:ascii="Times New Roman" w:hAnsi="Times New Roman"/>
          <w:sz w:val="24"/>
          <w:szCs w:val="24"/>
          <w:lang w:val="ru-RU"/>
        </w:rPr>
        <w:t>Уралцемент</w:t>
      </w:r>
      <w:proofErr w:type="spellEnd"/>
      <w:r w:rsidRPr="004D4384">
        <w:rPr>
          <w:rFonts w:ascii="Times New Roman" w:hAnsi="Times New Roman"/>
          <w:sz w:val="24"/>
          <w:szCs w:val="24"/>
          <w:lang w:val="ru-RU"/>
        </w:rPr>
        <w:t xml:space="preserve">») иллюстрирует возможности использования потенциала снижения углеродоемкости производства цемента. На сегодняшний день на каждую тонну цемента, производимую на заводах </w:t>
      </w:r>
      <w:proofErr w:type="spellStart"/>
      <w:r w:rsidRPr="004D4384">
        <w:rPr>
          <w:rFonts w:ascii="Times New Roman" w:hAnsi="Times New Roman"/>
          <w:sz w:val="24"/>
          <w:szCs w:val="24"/>
          <w:lang w:val="ru-RU"/>
        </w:rPr>
        <w:t>Лафарж</w:t>
      </w:r>
      <w:proofErr w:type="spellEnd"/>
      <w:r w:rsidRPr="004D4384">
        <w:rPr>
          <w:rFonts w:ascii="Times New Roman" w:hAnsi="Times New Roman"/>
          <w:sz w:val="24"/>
          <w:szCs w:val="24"/>
          <w:lang w:val="ru-RU"/>
        </w:rPr>
        <w:t xml:space="preserve">, приходится в среднем около 606 кг углекислого газа, что на 168 кг (22%) меньше, чем в 1990 году.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И если российская цементная промышленность относительно малоуязвима для пограничных мер протекционистского характера, поскольку экспорт приходится в основном на страны «ближнего» зарубежья, то ее способность выдержать конкуренцию с импортом будет в значительной степени зависеть от темпов модернизации производства, для которого в настоящее время не серьезных стимулов.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принципе разработка систем внутреннего «парникового» регулирования в Казахстане, Белоруссии, Украине, возможное сопряжение этих систем может обострить вопрос об углеродоемкости производства и экспорта цемента. А если говорить о возможном сопряжении систем, то именно углеродоемкость экспорта, механизм компенсации этой углеродоемкости может стать первичным каналом сопряжения национальных систем.</w:t>
      </w:r>
    </w:p>
    <w:p w:rsidR="007D6401" w:rsidRPr="004D4384" w:rsidRDefault="007D6401" w:rsidP="007D6401">
      <w:pPr>
        <w:spacing w:after="120" w:line="240" w:lineRule="auto"/>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Электроэнергетика</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Одно из перспективных направлений развития электроэнергетики России связано с объединением энергосистем стран СНГ и Европейского союза и  созданием единого Евразийского рынка электроэнергии. </w:t>
      </w:r>
    </w:p>
    <w:p w:rsidR="007D6401" w:rsidRPr="004D4384" w:rsidRDefault="007D6401" w:rsidP="007D6401">
      <w:pPr>
        <w:spacing w:after="120" w:line="240" w:lineRule="auto"/>
        <w:ind w:firstLine="567"/>
        <w:jc w:val="both"/>
        <w:rPr>
          <w:rFonts w:ascii="Times New Roman" w:hAnsi="Times New Roman"/>
          <w:b/>
          <w:bCs/>
          <w:sz w:val="24"/>
          <w:szCs w:val="24"/>
          <w:lang w:val="ru-RU"/>
        </w:rPr>
      </w:pPr>
      <w:r w:rsidRPr="004D4384">
        <w:rPr>
          <w:rFonts w:ascii="Times New Roman" w:hAnsi="Times New Roman"/>
          <w:sz w:val="24"/>
          <w:szCs w:val="24"/>
          <w:lang w:val="ru-RU"/>
        </w:rPr>
        <w:t xml:space="preserve">В настоящее время действуют совместные рабочие группы </w:t>
      </w:r>
      <w:proofErr w:type="spellStart"/>
      <w:r w:rsidRPr="004D4384">
        <w:rPr>
          <w:rFonts w:ascii="Times New Roman" w:hAnsi="Times New Roman"/>
          <w:sz w:val="24"/>
          <w:szCs w:val="24"/>
          <w:lang w:val="ru-RU"/>
        </w:rPr>
        <w:t>СНГ-Евроэлектрик</w:t>
      </w:r>
      <w:proofErr w:type="spellEnd"/>
      <w:r w:rsidRPr="004D4384">
        <w:rPr>
          <w:rFonts w:ascii="Times New Roman" w:hAnsi="Times New Roman"/>
          <w:sz w:val="24"/>
          <w:szCs w:val="24"/>
          <w:lang w:val="ru-RU"/>
        </w:rPr>
        <w:t xml:space="preserve"> "Рынки" и "Окружающая среда" для гармонизации отраслевых требований и стандартов в части экологических показателей (в том числе по выбросам парниковых газов). Как показывает опыт, этот процесс крайне сложен, ввиду существенных отличий в природоохранных требованиях стран ЕС и СНГ.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Однако без согласования данных стандартов, доступ производителей России и других стран СНГ на рынок электроэнергии Евросоюза очень затруднен. Очевидно, это в </w:t>
      </w:r>
      <w:r w:rsidRPr="004D4384">
        <w:rPr>
          <w:rFonts w:ascii="Times New Roman" w:hAnsi="Times New Roman"/>
          <w:sz w:val="24"/>
          <w:szCs w:val="24"/>
          <w:lang w:val="ru-RU"/>
        </w:rPr>
        <w:lastRenderedPageBreak/>
        <w:t xml:space="preserve">первую очередь связано с защитой интересов внутренних производителей стран-членов ЕС, которые вынуждены выполнять требования по выбросам парниковых газов и участвовать в рынке углеродных квот ЕС (в противном случае – платить огромные штрафы).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перспективе, если Россия заинтересована в экспорте электроэнергии в страны Евросоюза, потребуется принятие жестких стандартов по выбросам углерода, их согласование в рамках сотрудничества </w:t>
      </w:r>
      <w:proofErr w:type="spellStart"/>
      <w:r w:rsidRPr="004D4384">
        <w:rPr>
          <w:rFonts w:ascii="Times New Roman" w:hAnsi="Times New Roman"/>
          <w:sz w:val="24"/>
          <w:szCs w:val="24"/>
          <w:lang w:val="ru-RU"/>
        </w:rPr>
        <w:t>Евроэлектрик</w:t>
      </w:r>
      <w:proofErr w:type="spellEnd"/>
      <w:r w:rsidRPr="004D4384">
        <w:rPr>
          <w:rFonts w:ascii="Times New Roman" w:hAnsi="Times New Roman"/>
          <w:sz w:val="24"/>
          <w:szCs w:val="24"/>
          <w:lang w:val="ru-RU"/>
        </w:rPr>
        <w:t xml:space="preserve"> и Электроэнергетического Совета СНГ, а затем и их выполнение </w:t>
      </w:r>
      <w:proofErr w:type="spellStart"/>
      <w:r w:rsidRPr="004D4384">
        <w:rPr>
          <w:rFonts w:ascii="Times New Roman" w:hAnsi="Times New Roman"/>
          <w:sz w:val="24"/>
          <w:szCs w:val="24"/>
          <w:lang w:val="ru-RU"/>
        </w:rPr>
        <w:t>энергокомпаниями</w:t>
      </w:r>
      <w:proofErr w:type="spellEnd"/>
      <w:r w:rsidRPr="004D4384">
        <w:rPr>
          <w:rFonts w:ascii="Times New Roman" w:hAnsi="Times New Roman"/>
          <w:sz w:val="24"/>
          <w:szCs w:val="24"/>
          <w:lang w:val="ru-RU"/>
        </w:rPr>
        <w:t xml:space="preserve"> РФ.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Развитие такого сегмента отрасли как возобновляемая энергетика, как показывает практика, практически заморожено в отсутствие рыночных стимулов.</w:t>
      </w:r>
    </w:p>
    <w:p w:rsidR="007D6401" w:rsidRPr="004D4384"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Эти противоречия в принципе разрешимы в рамках предложенной модели </w:t>
      </w:r>
      <w:proofErr w:type="spellStart"/>
      <w:r>
        <w:rPr>
          <w:rFonts w:ascii="Times New Roman" w:hAnsi="Times New Roman"/>
          <w:sz w:val="24"/>
          <w:szCs w:val="24"/>
          <w:lang w:val="ru-RU"/>
        </w:rPr>
        <w:t>углеродонейтрального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углеродоотрицательного</w:t>
      </w:r>
      <w:proofErr w:type="spellEnd"/>
      <w:r>
        <w:rPr>
          <w:rFonts w:ascii="Times New Roman" w:hAnsi="Times New Roman"/>
          <w:sz w:val="24"/>
          <w:szCs w:val="24"/>
          <w:lang w:val="ru-RU"/>
        </w:rPr>
        <w:t xml:space="preserve"> экспорта, в которой углеродное содержание экспортируемой электроэнергии может с избытком компенсироваться или углеродными кредитами или кредитами возобновляемой энергетики</w:t>
      </w:r>
    </w:p>
    <w:p w:rsidR="007D6401" w:rsidRPr="004D4384" w:rsidRDefault="007D6401" w:rsidP="007D6401">
      <w:pPr>
        <w:spacing w:after="120" w:line="240" w:lineRule="auto"/>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 xml:space="preserve"> Газовая промышленность</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Газовая отрасль России может существенно выиграть от ужесточения «климатических» требований в мире. При сжигании природного газа выделяется почти на 40% меньше СО</w:t>
      </w:r>
      <w:proofErr w:type="gramStart"/>
      <w:r w:rsidRPr="004D4384">
        <w:rPr>
          <w:rFonts w:ascii="Times New Roman" w:hAnsi="Times New Roman"/>
          <w:sz w:val="24"/>
          <w:szCs w:val="24"/>
          <w:vertAlign w:val="subscript"/>
          <w:lang w:val="ru-RU"/>
        </w:rPr>
        <w:t>2</w:t>
      </w:r>
      <w:proofErr w:type="gramEnd"/>
      <w:r w:rsidRPr="004D4384">
        <w:rPr>
          <w:rFonts w:ascii="Times New Roman" w:hAnsi="Times New Roman"/>
          <w:sz w:val="24"/>
          <w:szCs w:val="24"/>
          <w:lang w:val="ru-RU"/>
        </w:rPr>
        <w:t xml:space="preserve"> по сравнению с углем. Таким образом, широкомасштабный переход на газ в мире (в том числе в Евросоюзе и других странах-импортерах российского газа) приведет к росту цен и экспортных доходов российских компаний. По некоторым оценкам, с учетом «климатического» эффекта и роста цен на углеродные квоты в Европе, цена на российский природный газ может вырасти на 20-40%.</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этой связи российская газовая отрасль заинтересована в том, чтобы было принято всеохватывающее глобальное соглашение, требующее юридически обязывающего сокращения выбросов парниковых газов.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то же время растущая конкуренция со стороны производителей сжиженного газа, сланцевого газа обостряют борьбу за рынки и технологии. С этой точки зрения «парниковое» регулирование как внешнее, так и потенциальное внутреннее, так же благоприятствуют возникновению новых рынков сбыта и новых технологий. Так, например, стремление ужесточить экологические требования к эмиссии парниковых газов и сажи в Арктике объективно способствует ускоренной модернизации флота и возникновению спроса на </w:t>
      </w:r>
      <w:proofErr w:type="spellStart"/>
      <w:r w:rsidRPr="004D4384">
        <w:rPr>
          <w:rFonts w:ascii="Times New Roman" w:hAnsi="Times New Roman"/>
          <w:sz w:val="24"/>
          <w:szCs w:val="24"/>
          <w:lang w:val="ru-RU"/>
        </w:rPr>
        <w:t>СПГ</w:t>
      </w:r>
      <w:proofErr w:type="spellEnd"/>
      <w:r w:rsidRPr="004D4384">
        <w:rPr>
          <w:rFonts w:ascii="Times New Roman" w:hAnsi="Times New Roman"/>
          <w:sz w:val="24"/>
          <w:szCs w:val="24"/>
          <w:lang w:val="ru-RU"/>
        </w:rPr>
        <w:t xml:space="preserve"> для арктического судоходства.</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Модель </w:t>
      </w:r>
      <w:proofErr w:type="spellStart"/>
      <w:r>
        <w:rPr>
          <w:rFonts w:ascii="Times New Roman" w:hAnsi="Times New Roman"/>
          <w:sz w:val="24"/>
          <w:szCs w:val="24"/>
          <w:lang w:val="ru-RU"/>
        </w:rPr>
        <w:t>углеродонейтральных</w:t>
      </w:r>
      <w:proofErr w:type="spellEnd"/>
      <w:r>
        <w:rPr>
          <w:rFonts w:ascii="Times New Roman" w:hAnsi="Times New Roman"/>
          <w:sz w:val="24"/>
          <w:szCs w:val="24"/>
          <w:lang w:val="ru-RU"/>
        </w:rPr>
        <w:t xml:space="preserve"> поставок газа на экспо</w:t>
      </w:r>
      <w:proofErr w:type="gramStart"/>
      <w:r>
        <w:rPr>
          <w:rFonts w:ascii="Times New Roman" w:hAnsi="Times New Roman"/>
          <w:sz w:val="24"/>
          <w:szCs w:val="24"/>
          <w:lang w:val="ru-RU"/>
        </w:rPr>
        <w:t>рт в сл</w:t>
      </w:r>
      <w:proofErr w:type="gramEnd"/>
      <w:r>
        <w:rPr>
          <w:rFonts w:ascii="Times New Roman" w:hAnsi="Times New Roman"/>
          <w:sz w:val="24"/>
          <w:szCs w:val="24"/>
          <w:lang w:val="ru-RU"/>
        </w:rPr>
        <w:t xml:space="preserve">учае с природным газом с определенной точки зрения выглядит еще более реалистичной, чем в других случаях. Договоренности об этом могут достигаться на высоком межправительственном уровне, а потенциал генерации полноценных кредитов в системе газодобывающей отрасли </w:t>
      </w:r>
      <w:proofErr w:type="gramStart"/>
      <w:r>
        <w:rPr>
          <w:rFonts w:ascii="Times New Roman" w:hAnsi="Times New Roman"/>
          <w:sz w:val="24"/>
          <w:szCs w:val="24"/>
          <w:lang w:val="ru-RU"/>
        </w:rPr>
        <w:t>и</w:t>
      </w:r>
      <w:proofErr w:type="gramEnd"/>
      <w:r>
        <w:rPr>
          <w:rFonts w:ascii="Times New Roman" w:hAnsi="Times New Roman"/>
          <w:sz w:val="24"/>
          <w:szCs w:val="24"/>
          <w:lang w:val="ru-RU"/>
        </w:rPr>
        <w:t xml:space="preserve"> особенно в системе газораспределения весьма велик.</w:t>
      </w:r>
    </w:p>
    <w:p w:rsidR="007D6401" w:rsidRPr="004D4384" w:rsidRDefault="007D6401" w:rsidP="007D6401">
      <w:pPr>
        <w:spacing w:after="120" w:line="240" w:lineRule="auto"/>
        <w:ind w:firstLine="567"/>
        <w:jc w:val="both"/>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Нефтяная промышленность</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Отечественная нефтяная промышленность находится в сложном положении из-за высокой и растущей себестоимости добычи, относительно низкого коэффициента извлечения нефти. Для сохранения конкурентоспособности ее требуется все больший объем инвестиций в геологоразведку, </w:t>
      </w:r>
      <w:proofErr w:type="spellStart"/>
      <w:r w:rsidRPr="004D4384">
        <w:rPr>
          <w:rFonts w:ascii="Times New Roman" w:hAnsi="Times New Roman"/>
          <w:sz w:val="24"/>
          <w:szCs w:val="24"/>
          <w:lang w:val="ru-RU"/>
        </w:rPr>
        <w:t>НИОКР</w:t>
      </w:r>
      <w:proofErr w:type="spellEnd"/>
      <w:r w:rsidRPr="004D4384">
        <w:rPr>
          <w:rFonts w:ascii="Times New Roman" w:hAnsi="Times New Roman"/>
          <w:sz w:val="24"/>
          <w:szCs w:val="24"/>
          <w:lang w:val="ru-RU"/>
        </w:rPr>
        <w:t xml:space="preserve">, в </w:t>
      </w:r>
      <w:proofErr w:type="spellStart"/>
      <w:r w:rsidRPr="004D4384">
        <w:rPr>
          <w:rFonts w:ascii="Times New Roman" w:hAnsi="Times New Roman"/>
          <w:sz w:val="24"/>
          <w:szCs w:val="24"/>
          <w:lang w:val="ru-RU"/>
        </w:rPr>
        <w:t>энергоэффективность</w:t>
      </w:r>
      <w:proofErr w:type="spellEnd"/>
      <w:r w:rsidRPr="004D4384">
        <w:rPr>
          <w:rFonts w:ascii="Times New Roman" w:hAnsi="Times New Roman"/>
          <w:sz w:val="24"/>
          <w:szCs w:val="24"/>
          <w:lang w:val="ru-RU"/>
        </w:rPr>
        <w:t xml:space="preserve"> нефтедобычи, а для сохранения экспортного потенциала необходим качественный рост эффективности использования углеводородного сырья отечественной экономикой.</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 xml:space="preserve">При этом внешнее, международное «парниковое» регулирование, по существу, стимулирует эффективность потребления ископаемого топлива за пределами России и изымает часть ренты за пользование российскими природными ресурсами. </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hAnsi="Times New Roman"/>
          <w:sz w:val="24"/>
          <w:szCs w:val="24"/>
          <w:lang w:val="ru-RU"/>
        </w:rPr>
        <w:t>Характерен пример противоречий, возникающих при ужесточении требований к утилизации попутного нефтяного газа, сжигание которого - главный источник парникового загрязнения нефтяной промышленностью.</w:t>
      </w:r>
      <w:r w:rsidRPr="00DE5273">
        <w:rPr>
          <w:rFonts w:ascii="Arial" w:eastAsia="Times New Roman" w:hAnsi="Arial" w:cs="Arial"/>
          <w:color w:val="000000"/>
          <w:sz w:val="18"/>
          <w:szCs w:val="18"/>
          <w:lang w:val="ru-RU"/>
        </w:rPr>
        <w:t xml:space="preserve"> </w:t>
      </w:r>
      <w:r w:rsidRPr="00DE5273">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 xml:space="preserve">Когда в </w:t>
      </w:r>
      <w:r w:rsidRPr="00DE5273">
        <w:rPr>
          <w:rFonts w:ascii="Times New Roman" w:eastAsia="Times New Roman" w:hAnsi="Times New Roman"/>
          <w:color w:val="000000"/>
          <w:sz w:val="24"/>
          <w:szCs w:val="24"/>
          <w:lang w:val="ru-RU"/>
        </w:rPr>
        <w:t>мае</w:t>
      </w:r>
      <w:r>
        <w:rPr>
          <w:rFonts w:ascii="Times New Roman" w:eastAsia="Times New Roman" w:hAnsi="Times New Roman"/>
          <w:color w:val="000000"/>
          <w:sz w:val="24"/>
          <w:szCs w:val="24"/>
          <w:lang w:val="ru-RU"/>
        </w:rPr>
        <w:t xml:space="preserve"> нынешнего года</w:t>
      </w:r>
      <w:r w:rsidRPr="00DE5273">
        <w:rPr>
          <w:rFonts w:ascii="Times New Roman" w:eastAsia="Times New Roman" w:hAnsi="Times New Roman"/>
          <w:color w:val="000000"/>
          <w:sz w:val="24"/>
          <w:szCs w:val="24"/>
          <w:lang w:val="ru-RU"/>
        </w:rPr>
        <w:t xml:space="preserve"> Минприроды внесло в правительство проект постановления, по которому с 2012</w:t>
      </w:r>
      <w:r>
        <w:rPr>
          <w:rFonts w:ascii="Times New Roman" w:eastAsia="Times New Roman" w:hAnsi="Times New Roman"/>
          <w:color w:val="000000"/>
          <w:sz w:val="24"/>
          <w:szCs w:val="24"/>
          <w:lang w:val="ru-RU"/>
        </w:rPr>
        <w:t xml:space="preserve"> </w:t>
      </w:r>
      <w:r w:rsidRPr="00DE5273">
        <w:rPr>
          <w:rFonts w:ascii="Times New Roman" w:eastAsia="Times New Roman" w:hAnsi="Times New Roman"/>
          <w:color w:val="000000"/>
          <w:sz w:val="24"/>
          <w:szCs w:val="24"/>
          <w:lang w:val="ru-RU"/>
        </w:rPr>
        <w:t>г. один из коэффициентов</w:t>
      </w:r>
      <w:r>
        <w:rPr>
          <w:rFonts w:ascii="Times New Roman" w:eastAsia="Times New Roman" w:hAnsi="Times New Roman"/>
          <w:color w:val="000000"/>
          <w:sz w:val="24"/>
          <w:szCs w:val="24"/>
          <w:lang w:val="ru-RU"/>
        </w:rPr>
        <w:t xml:space="preserve"> с 1 </w:t>
      </w:r>
      <w:r w:rsidRPr="00DE5273">
        <w:rPr>
          <w:rFonts w:ascii="Times New Roman" w:eastAsia="Times New Roman" w:hAnsi="Times New Roman"/>
          <w:color w:val="000000"/>
          <w:sz w:val="24"/>
          <w:szCs w:val="24"/>
          <w:lang w:val="ru-RU"/>
        </w:rPr>
        <w:t>января</w:t>
      </w:r>
      <w:r>
        <w:rPr>
          <w:rFonts w:ascii="Times New Roman" w:eastAsia="Times New Roman" w:hAnsi="Times New Roman"/>
          <w:color w:val="000000"/>
          <w:sz w:val="24"/>
          <w:szCs w:val="24"/>
          <w:lang w:val="ru-RU"/>
        </w:rPr>
        <w:t xml:space="preserve"> 2012 г.</w:t>
      </w:r>
      <w:r w:rsidRPr="00DE5273">
        <w:rPr>
          <w:rFonts w:ascii="Times New Roman" w:eastAsia="Times New Roman" w:hAnsi="Times New Roman"/>
          <w:color w:val="000000"/>
          <w:sz w:val="24"/>
          <w:szCs w:val="24"/>
          <w:lang w:val="ru-RU"/>
        </w:rPr>
        <w:t xml:space="preserve"> должен увеличиться с 4,5</w:t>
      </w:r>
      <w:r>
        <w:rPr>
          <w:rFonts w:ascii="Times New Roman" w:eastAsia="Times New Roman" w:hAnsi="Times New Roman"/>
          <w:color w:val="000000"/>
          <w:sz w:val="24"/>
          <w:szCs w:val="24"/>
          <w:lang w:val="ru-RU"/>
        </w:rPr>
        <w:t xml:space="preserve"> </w:t>
      </w:r>
      <w:r w:rsidRPr="00DE5273">
        <w:rPr>
          <w:rFonts w:ascii="Times New Roman" w:eastAsia="Times New Roman" w:hAnsi="Times New Roman"/>
          <w:color w:val="000000"/>
          <w:sz w:val="24"/>
          <w:szCs w:val="24"/>
          <w:lang w:val="ru-RU"/>
        </w:rPr>
        <w:t>до 100, а общая плата за «</w:t>
      </w:r>
      <w:proofErr w:type="spellStart"/>
      <w:r w:rsidRPr="00DE5273">
        <w:rPr>
          <w:rFonts w:ascii="Times New Roman" w:eastAsia="Times New Roman" w:hAnsi="Times New Roman"/>
          <w:color w:val="000000"/>
          <w:sz w:val="24"/>
          <w:szCs w:val="24"/>
          <w:lang w:val="ru-RU"/>
        </w:rPr>
        <w:t>сверхлимиты</w:t>
      </w:r>
      <w:proofErr w:type="spellEnd"/>
      <w:r w:rsidRPr="00DE5273">
        <w:rPr>
          <w:rFonts w:ascii="Times New Roman" w:eastAsia="Times New Roman" w:hAnsi="Times New Roman"/>
          <w:color w:val="000000"/>
          <w:sz w:val="24"/>
          <w:szCs w:val="24"/>
          <w:lang w:val="ru-RU"/>
        </w:rPr>
        <w:t>», таким образом, в 22</w:t>
      </w:r>
      <w:r>
        <w:rPr>
          <w:rFonts w:ascii="Times New Roman" w:eastAsia="Times New Roman" w:hAnsi="Times New Roman"/>
          <w:color w:val="000000"/>
          <w:sz w:val="24"/>
          <w:szCs w:val="24"/>
          <w:lang w:val="ru-RU"/>
        </w:rPr>
        <w:t xml:space="preserve"> </w:t>
      </w:r>
      <w:r w:rsidRPr="00DE5273">
        <w:rPr>
          <w:rFonts w:ascii="Times New Roman" w:eastAsia="Times New Roman" w:hAnsi="Times New Roman"/>
          <w:color w:val="000000"/>
          <w:sz w:val="24"/>
          <w:szCs w:val="24"/>
          <w:lang w:val="ru-RU"/>
        </w:rPr>
        <w:t>раза</w:t>
      </w:r>
      <w:r>
        <w:rPr>
          <w:rFonts w:ascii="Times New Roman" w:eastAsia="Times New Roman" w:hAnsi="Times New Roman"/>
          <w:color w:val="000000"/>
          <w:sz w:val="24"/>
          <w:szCs w:val="24"/>
          <w:lang w:val="ru-RU"/>
        </w:rPr>
        <w:t xml:space="preserve">, </w:t>
      </w:r>
      <w:r w:rsidRPr="00DE5273">
        <w:rPr>
          <w:rFonts w:ascii="Times New Roman" w:eastAsia="Times New Roman" w:hAnsi="Times New Roman"/>
          <w:color w:val="000000"/>
          <w:sz w:val="24"/>
          <w:szCs w:val="24"/>
          <w:lang w:val="ru-RU"/>
        </w:rPr>
        <w:t xml:space="preserve">восемь </w:t>
      </w:r>
      <w:r>
        <w:rPr>
          <w:rFonts w:ascii="Times New Roman" w:eastAsia="Times New Roman" w:hAnsi="Times New Roman"/>
          <w:color w:val="000000"/>
          <w:sz w:val="24"/>
          <w:szCs w:val="24"/>
          <w:lang w:val="ru-RU"/>
        </w:rPr>
        <w:t xml:space="preserve">российских нефтяных </w:t>
      </w:r>
      <w:r w:rsidRPr="00DE5273">
        <w:rPr>
          <w:rFonts w:ascii="Times New Roman" w:eastAsia="Times New Roman" w:hAnsi="Times New Roman"/>
          <w:color w:val="000000"/>
          <w:sz w:val="24"/>
          <w:szCs w:val="24"/>
          <w:lang w:val="ru-RU"/>
        </w:rPr>
        <w:t xml:space="preserve">компаний </w:t>
      </w:r>
      <w:r>
        <w:rPr>
          <w:rFonts w:ascii="Times New Roman" w:eastAsia="Times New Roman" w:hAnsi="Times New Roman"/>
          <w:color w:val="000000"/>
          <w:sz w:val="24"/>
          <w:szCs w:val="24"/>
          <w:lang w:val="ru-RU"/>
        </w:rPr>
        <w:t>обратили</w:t>
      </w:r>
      <w:r w:rsidRPr="00DE5273">
        <w:rPr>
          <w:rFonts w:ascii="Times New Roman" w:eastAsia="Times New Roman" w:hAnsi="Times New Roman"/>
          <w:color w:val="000000"/>
          <w:sz w:val="24"/>
          <w:szCs w:val="24"/>
          <w:lang w:val="ru-RU"/>
        </w:rPr>
        <w:t>сь с просьбой не применять дополнительный коэффициент.</w:t>
      </w:r>
      <w:proofErr w:type="gramEnd"/>
      <w:r>
        <w:rPr>
          <w:rFonts w:ascii="Times New Roman" w:eastAsia="Times New Roman" w:hAnsi="Times New Roman"/>
          <w:color w:val="000000"/>
          <w:sz w:val="24"/>
          <w:szCs w:val="24"/>
          <w:lang w:val="ru-RU"/>
        </w:rPr>
        <w:t xml:space="preserve"> Кроме того, было сформулировано предложение </w:t>
      </w:r>
      <w:proofErr w:type="gramStart"/>
      <w:r w:rsidRPr="00DE5273">
        <w:rPr>
          <w:rFonts w:ascii="Times New Roman" w:eastAsia="Times New Roman" w:hAnsi="Times New Roman"/>
          <w:color w:val="000000"/>
          <w:sz w:val="24"/>
          <w:szCs w:val="24"/>
          <w:lang w:val="ru-RU"/>
        </w:rPr>
        <w:t>считать</w:t>
      </w:r>
      <w:proofErr w:type="gramEnd"/>
      <w:r w:rsidRPr="00DE527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5% допустимого с</w:t>
      </w:r>
      <w:r w:rsidRPr="00DE5273">
        <w:rPr>
          <w:rFonts w:ascii="Times New Roman" w:eastAsia="Times New Roman" w:hAnsi="Times New Roman"/>
          <w:color w:val="000000"/>
          <w:sz w:val="24"/>
          <w:szCs w:val="24"/>
          <w:lang w:val="ru-RU"/>
        </w:rPr>
        <w:t>жигания не по конкретным проектам</w:t>
      </w:r>
      <w:r>
        <w:rPr>
          <w:rFonts w:ascii="Times New Roman" w:eastAsia="Times New Roman" w:hAnsi="Times New Roman"/>
          <w:color w:val="000000"/>
          <w:sz w:val="24"/>
          <w:szCs w:val="24"/>
          <w:lang w:val="ru-RU"/>
        </w:rPr>
        <w:t>, а по группе в целом.</w:t>
      </w:r>
      <w:r>
        <w:rPr>
          <w:rStyle w:val="ad"/>
          <w:rFonts w:ascii="Times New Roman" w:eastAsia="Times New Roman" w:hAnsi="Times New Roman"/>
          <w:color w:val="000000"/>
          <w:sz w:val="24"/>
          <w:szCs w:val="24"/>
          <w:lang w:val="ru-RU"/>
        </w:rPr>
        <w:footnoteReference w:id="30"/>
      </w:r>
      <w:r>
        <w:rPr>
          <w:rFonts w:ascii="Times New Roman" w:eastAsia="Times New Roman" w:hAnsi="Times New Roman"/>
          <w:color w:val="000000"/>
          <w:sz w:val="24"/>
          <w:szCs w:val="24"/>
          <w:lang w:val="ru-RU"/>
        </w:rPr>
        <w:t xml:space="preserve"> </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Последнее предложение это, по существу, интуитивное обращение к принципу «купольных» обязательств, хорошо известному, изученному и опробованному в рамках рыночных механизмов контроля атмосферных эмиссий.</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 этом в рамках административного нормирования такое противоречие иной раз может решаться только отказом либо от производственной деятельности, либо от выплаты штрафов вообще. Последнее наиболее вероятно, особенно, если участником является госкомпания.  </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Этот пример иллюстрирует существенный риск для российских загрязнителей атмосферы, который заключается в том, что отсутствие тех или иных механизмов парникового регулирования не избавляет от неизбежной перспективы ужесточения экологических нормативов, тогда как квотирование выбросов, связанных с </w:t>
      </w:r>
      <w:proofErr w:type="spellStart"/>
      <w:r>
        <w:rPr>
          <w:rFonts w:ascii="Times New Roman" w:eastAsia="Times New Roman" w:hAnsi="Times New Roman"/>
          <w:color w:val="000000"/>
          <w:sz w:val="24"/>
          <w:szCs w:val="24"/>
          <w:lang w:val="ru-RU"/>
        </w:rPr>
        <w:t>НПГ</w:t>
      </w:r>
      <w:proofErr w:type="spellEnd"/>
      <w:r>
        <w:rPr>
          <w:rFonts w:ascii="Times New Roman" w:eastAsia="Times New Roman" w:hAnsi="Times New Roman"/>
          <w:color w:val="000000"/>
          <w:sz w:val="24"/>
          <w:szCs w:val="24"/>
          <w:lang w:val="ru-RU"/>
        </w:rPr>
        <w:t xml:space="preserve"> может оказаться лучшей альтернативой. </w:t>
      </w:r>
    </w:p>
    <w:p w:rsidR="007D6401" w:rsidRPr="00DE5273" w:rsidRDefault="007D6401" w:rsidP="007D6401">
      <w:pPr>
        <w:spacing w:before="100" w:beforeAutospacing="1" w:after="100" w:afterAutospacing="1" w:line="240" w:lineRule="auto"/>
        <w:ind w:firstLine="567"/>
        <w:jc w:val="both"/>
        <w:rPr>
          <w:rFonts w:ascii="Times New Roman" w:hAnsi="Times New Roman"/>
          <w:sz w:val="24"/>
          <w:szCs w:val="24"/>
          <w:lang w:val="ru-RU"/>
        </w:rPr>
      </w:pPr>
      <w:r>
        <w:rPr>
          <w:rFonts w:ascii="Times New Roman" w:eastAsia="Times New Roman" w:hAnsi="Times New Roman"/>
          <w:color w:val="000000"/>
          <w:sz w:val="24"/>
          <w:szCs w:val="24"/>
          <w:lang w:val="ru-RU"/>
        </w:rPr>
        <w:t xml:space="preserve">Что касается углеродоемкости экспорта нефти и нефтепродуктов (основной статьи российского экспорта) то, как уже отмечалось, углеродоемкость потребления в данном случае в странах с «парниковым» регулированием уже </w:t>
      </w:r>
      <w:proofErr w:type="gramStart"/>
      <w:r>
        <w:rPr>
          <w:rFonts w:ascii="Times New Roman" w:eastAsia="Times New Roman" w:hAnsi="Times New Roman"/>
          <w:color w:val="000000"/>
          <w:sz w:val="24"/>
          <w:szCs w:val="24"/>
          <w:lang w:val="ru-RU"/>
        </w:rPr>
        <w:t>учтена</w:t>
      </w:r>
      <w:proofErr w:type="gramEnd"/>
      <w:r>
        <w:rPr>
          <w:rFonts w:ascii="Times New Roman" w:eastAsia="Times New Roman" w:hAnsi="Times New Roman"/>
          <w:color w:val="000000"/>
          <w:sz w:val="24"/>
          <w:szCs w:val="24"/>
          <w:lang w:val="ru-RU"/>
        </w:rPr>
        <w:t>, Но вполне конструктивным было бы предложение компенсировать углеродоемкость производства (добычи нефти и выработки нефтепродуктов).</w:t>
      </w: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Лесопромышленный комплекс</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Предприятия лесопромышленного комплекса России имеют огромный потенциал по сокращению выбросов СО</w:t>
      </w:r>
      <w:proofErr w:type="gramStart"/>
      <w:r w:rsidRPr="004D4384">
        <w:rPr>
          <w:rFonts w:ascii="Times New Roman" w:hAnsi="Times New Roman"/>
          <w:sz w:val="24"/>
          <w:szCs w:val="24"/>
          <w:vertAlign w:val="subscript"/>
          <w:lang w:val="ru-RU"/>
        </w:rPr>
        <w:t>2</w:t>
      </w:r>
      <w:proofErr w:type="gramEnd"/>
      <w:r w:rsidRPr="004D4384">
        <w:rPr>
          <w:rFonts w:ascii="Times New Roman" w:hAnsi="Times New Roman"/>
          <w:sz w:val="24"/>
          <w:szCs w:val="24"/>
          <w:lang w:val="ru-RU"/>
        </w:rPr>
        <w:t xml:space="preserve"> за счет утилизации древесных и иных </w:t>
      </w:r>
      <w:proofErr w:type="spellStart"/>
      <w:r w:rsidRPr="004D4384">
        <w:rPr>
          <w:rFonts w:ascii="Times New Roman" w:hAnsi="Times New Roman"/>
          <w:sz w:val="24"/>
          <w:szCs w:val="24"/>
          <w:lang w:val="ru-RU"/>
        </w:rPr>
        <w:t>биоотходов</w:t>
      </w:r>
      <w:proofErr w:type="spellEnd"/>
      <w:r w:rsidRPr="004D4384">
        <w:rPr>
          <w:rFonts w:ascii="Times New Roman" w:hAnsi="Times New Roman"/>
          <w:sz w:val="24"/>
          <w:szCs w:val="24"/>
          <w:lang w:val="ru-RU"/>
        </w:rPr>
        <w:t>. Опыт разработки проектов совместного осуществления по ст. 6 Киотского протокола показывает, что российские ЦБК способны значительно снижать выбросы СО</w:t>
      </w:r>
      <w:proofErr w:type="gramStart"/>
      <w:r w:rsidRPr="004D4384">
        <w:rPr>
          <w:rFonts w:ascii="Times New Roman" w:hAnsi="Times New Roman"/>
          <w:sz w:val="24"/>
          <w:szCs w:val="24"/>
          <w:lang w:val="ru-RU"/>
        </w:rPr>
        <w:t>2</w:t>
      </w:r>
      <w:proofErr w:type="gramEnd"/>
      <w:r w:rsidRPr="004D4384">
        <w:rPr>
          <w:rFonts w:ascii="Times New Roman" w:hAnsi="Times New Roman"/>
          <w:sz w:val="24"/>
          <w:szCs w:val="24"/>
          <w:lang w:val="ru-RU"/>
        </w:rPr>
        <w:t xml:space="preserve"> при одновременном наращивании выпуска продукции.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этой связи показателен пример Архангельского ЦБК, взявший на себя добровольное обязательство в период с 2008 по 2012 гг. удержать выбросы на уровне -12% от показателей 1990 года. Причем предприятие планирует в этот период увеличить производство на 8,5 % к уровню 1990 г. </w:t>
      </w:r>
      <w:proofErr w:type="spellStart"/>
      <w:r w:rsidRPr="004D4384">
        <w:rPr>
          <w:rFonts w:ascii="Times New Roman" w:hAnsi="Times New Roman"/>
          <w:sz w:val="24"/>
          <w:szCs w:val="24"/>
          <w:lang w:val="ru-RU"/>
        </w:rPr>
        <w:t>АЦБК</w:t>
      </w:r>
      <w:proofErr w:type="spellEnd"/>
      <w:r w:rsidRPr="004D4384">
        <w:rPr>
          <w:rFonts w:ascii="Times New Roman" w:hAnsi="Times New Roman"/>
          <w:sz w:val="24"/>
          <w:szCs w:val="24"/>
          <w:lang w:val="ru-RU"/>
        </w:rPr>
        <w:t xml:space="preserve"> – первая российская компания, получившая доход от продажи квот на добровольном углеродном рынке и участник проекта совместного осуществления по Киотскому протоколу.</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lastRenderedPageBreak/>
        <w:t>Схожим потенциалом обладают и другие предприятия отрасли. В целом, объем неиспользуемых древесных отходов в России оценивается в 40-80% от объемов используемой лесозаготовки.</w:t>
      </w:r>
    </w:p>
    <w:p w:rsidR="007D6401" w:rsidRDefault="007D6401" w:rsidP="007D6401">
      <w:pPr>
        <w:spacing w:after="120" w:line="240" w:lineRule="auto"/>
        <w:ind w:firstLine="567"/>
        <w:jc w:val="both"/>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Инновационные отрасли, сферы высоких технологий и услуг, в том числе оказание экологических услуг</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«Парниковая» миграция, перемещение производств в наиболее благоприятные юрисдикции с точки зрения «парникового» регулирования действует как для сырьевых, так и для высокотехнологичных отраслей. </w:t>
      </w:r>
      <w:proofErr w:type="gramStart"/>
      <w:r w:rsidRPr="004D4384">
        <w:rPr>
          <w:rFonts w:ascii="Times New Roman" w:hAnsi="Times New Roman"/>
          <w:sz w:val="24"/>
          <w:szCs w:val="24"/>
          <w:lang w:val="ru-RU"/>
        </w:rPr>
        <w:t>То есть высокоэнергоемкие, углеродоемкие производства экстенсивно развиваются там, где «парниковое» регулирование отсутствует, а высокотехнологичные производства интенсивно развиваются там, где существует жесткое «парниковое»</w:t>
      </w:r>
      <w:r>
        <w:rPr>
          <w:rFonts w:ascii="Times New Roman" w:hAnsi="Times New Roman"/>
          <w:sz w:val="24"/>
          <w:szCs w:val="24"/>
          <w:lang w:val="ru-RU"/>
        </w:rPr>
        <w:t xml:space="preserve"> </w:t>
      </w:r>
      <w:r w:rsidRPr="004D4384">
        <w:rPr>
          <w:rFonts w:ascii="Times New Roman" w:hAnsi="Times New Roman"/>
          <w:sz w:val="24"/>
          <w:szCs w:val="24"/>
          <w:lang w:val="ru-RU"/>
        </w:rPr>
        <w:t xml:space="preserve">регулирование, стимулы </w:t>
      </w:r>
      <w:proofErr w:type="spellStart"/>
      <w:r w:rsidRPr="004D4384">
        <w:rPr>
          <w:rFonts w:ascii="Times New Roman" w:hAnsi="Times New Roman"/>
          <w:sz w:val="24"/>
          <w:szCs w:val="24"/>
          <w:lang w:val="ru-RU"/>
        </w:rPr>
        <w:t>низкоуглеродного</w:t>
      </w:r>
      <w:proofErr w:type="spellEnd"/>
      <w:r w:rsidRPr="004D4384">
        <w:rPr>
          <w:rFonts w:ascii="Times New Roman" w:hAnsi="Times New Roman"/>
          <w:sz w:val="24"/>
          <w:szCs w:val="24"/>
          <w:lang w:val="ru-RU"/>
        </w:rPr>
        <w:t xml:space="preserve"> развития, а, следовательно, и спрос на инновации и высокие технологии. </w:t>
      </w:r>
      <w:proofErr w:type="gramEnd"/>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Развитие экологических рынков сопровождается и ростом спроса на широкий спектр  высококвалифицированных экологических услуг, особенно связанных с энергосбережением, </w:t>
      </w:r>
      <w:proofErr w:type="spellStart"/>
      <w:r>
        <w:rPr>
          <w:rFonts w:ascii="Times New Roman" w:hAnsi="Times New Roman"/>
          <w:sz w:val="24"/>
          <w:szCs w:val="24"/>
          <w:lang w:val="ru-RU"/>
        </w:rPr>
        <w:t>энергоаудитом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энергосервисом</w:t>
      </w:r>
      <w:proofErr w:type="spellEnd"/>
      <w:r>
        <w:rPr>
          <w:rFonts w:ascii="Times New Roman" w:hAnsi="Times New Roman"/>
          <w:sz w:val="24"/>
          <w:szCs w:val="24"/>
          <w:lang w:val="ru-RU"/>
        </w:rPr>
        <w:t>, многие из которых пока в России не востребованы в достаточной степени.</w:t>
      </w:r>
    </w:p>
    <w:p w:rsidR="007D6401" w:rsidRDefault="007D6401" w:rsidP="007D6401">
      <w:pPr>
        <w:spacing w:after="120" w:line="240" w:lineRule="auto"/>
        <w:ind w:firstLine="567"/>
        <w:jc w:val="both"/>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Инвестиционно-финансовый, банковский сектор</w:t>
      </w:r>
    </w:p>
    <w:p w:rsidR="007D6401" w:rsidRDefault="007D6401" w:rsidP="007D6401">
      <w:pPr>
        <w:spacing w:after="120" w:line="240" w:lineRule="auto"/>
        <w:ind w:firstLine="567"/>
        <w:jc w:val="both"/>
        <w:rPr>
          <w:rFonts w:ascii="Times New Roman" w:eastAsia="Times New Roman" w:hAnsi="Times New Roman"/>
          <w:b/>
          <w:bCs/>
          <w:sz w:val="24"/>
          <w:szCs w:val="24"/>
          <w:lang w:val="ru-RU"/>
        </w:rPr>
      </w:pPr>
      <w:r>
        <w:rPr>
          <w:rFonts w:ascii="Times New Roman" w:hAnsi="Times New Roman"/>
          <w:sz w:val="24"/>
          <w:szCs w:val="24"/>
          <w:lang w:val="ru-RU"/>
        </w:rPr>
        <w:t>Снижение возможностей для финансирования, кредитования экологически неблагоприятных проектов стало очевидной международной тенденцией, которая поддерживается ведущими финансовыми институтами. Всемирный</w:t>
      </w:r>
      <w:r w:rsidRPr="008B0EBC">
        <w:rPr>
          <w:rFonts w:ascii="Times New Roman" w:hAnsi="Times New Roman"/>
          <w:sz w:val="24"/>
          <w:szCs w:val="24"/>
          <w:lang w:val="ru-RU"/>
        </w:rPr>
        <w:t xml:space="preserve"> </w:t>
      </w:r>
      <w:r>
        <w:rPr>
          <w:rFonts w:ascii="Times New Roman" w:hAnsi="Times New Roman"/>
          <w:sz w:val="24"/>
          <w:szCs w:val="24"/>
          <w:lang w:val="ru-RU"/>
        </w:rPr>
        <w:t>банк</w:t>
      </w:r>
      <w:r w:rsidRPr="008B0EBC">
        <w:rPr>
          <w:rFonts w:ascii="Times New Roman" w:hAnsi="Times New Roman"/>
          <w:sz w:val="24"/>
          <w:szCs w:val="24"/>
          <w:lang w:val="ru-RU"/>
        </w:rPr>
        <w:t xml:space="preserve"> </w:t>
      </w:r>
      <w:r>
        <w:rPr>
          <w:rFonts w:ascii="Times New Roman" w:hAnsi="Times New Roman"/>
          <w:sz w:val="24"/>
          <w:szCs w:val="24"/>
          <w:lang w:val="ru-RU"/>
        </w:rPr>
        <w:t>и</w:t>
      </w:r>
      <w:r w:rsidRPr="008B0EBC">
        <w:rPr>
          <w:rFonts w:ascii="Times New Roman" w:hAnsi="Times New Roman"/>
          <w:sz w:val="24"/>
          <w:szCs w:val="24"/>
          <w:lang w:val="ru-RU"/>
        </w:rPr>
        <w:t xml:space="preserve"> </w:t>
      </w:r>
      <w:r>
        <w:rPr>
          <w:rFonts w:ascii="Times New Roman" w:hAnsi="Times New Roman"/>
          <w:sz w:val="24"/>
          <w:szCs w:val="24"/>
          <w:lang w:val="ru-RU"/>
        </w:rPr>
        <w:t>другие</w:t>
      </w:r>
      <w:r w:rsidRPr="008B0EBC">
        <w:rPr>
          <w:rFonts w:ascii="Times New Roman" w:hAnsi="Times New Roman"/>
          <w:sz w:val="24"/>
          <w:szCs w:val="24"/>
          <w:lang w:val="ru-RU"/>
        </w:rPr>
        <w:t xml:space="preserve"> </w:t>
      </w:r>
      <w:r>
        <w:rPr>
          <w:rFonts w:ascii="Times New Roman" w:hAnsi="Times New Roman"/>
          <w:sz w:val="24"/>
          <w:szCs w:val="24"/>
          <w:lang w:val="ru-RU"/>
        </w:rPr>
        <w:t>крупнейшие</w:t>
      </w:r>
      <w:r w:rsidRPr="008B0EBC">
        <w:rPr>
          <w:rFonts w:ascii="Times New Roman" w:hAnsi="Times New Roman"/>
          <w:sz w:val="24"/>
          <w:szCs w:val="24"/>
          <w:lang w:val="ru-RU"/>
        </w:rPr>
        <w:t xml:space="preserve"> </w:t>
      </w:r>
      <w:r>
        <w:rPr>
          <w:rFonts w:ascii="Times New Roman" w:hAnsi="Times New Roman"/>
          <w:sz w:val="24"/>
          <w:szCs w:val="24"/>
          <w:lang w:val="ru-RU"/>
        </w:rPr>
        <w:t>кредиторы</w:t>
      </w:r>
      <w:r w:rsidRPr="008B0EBC">
        <w:rPr>
          <w:rFonts w:ascii="Times New Roman" w:hAnsi="Times New Roman"/>
          <w:sz w:val="24"/>
          <w:szCs w:val="24"/>
          <w:lang w:val="ru-RU"/>
        </w:rPr>
        <w:t xml:space="preserve"> </w:t>
      </w:r>
      <w:r>
        <w:rPr>
          <w:rFonts w:ascii="Times New Roman" w:hAnsi="Times New Roman"/>
          <w:sz w:val="24"/>
          <w:szCs w:val="24"/>
          <w:lang w:val="ru-RU"/>
        </w:rPr>
        <w:t>часто оговаривают отказ от экологически вредных субсидий и льгот в качестве условия для предоставления финансирования. Аналогичным примером могут служить соглашения крупнейших международных банков не предоставлять финансирования для экологически вредных проектов в развивающихся странах</w:t>
      </w:r>
      <w:r>
        <w:rPr>
          <w:rFonts w:ascii="Times New Roman" w:eastAsia="Times New Roman" w:hAnsi="Times New Roman"/>
          <w:b/>
          <w:bCs/>
          <w:sz w:val="24"/>
          <w:szCs w:val="24"/>
          <w:lang w:val="ru-RU"/>
        </w:rPr>
        <w:t>.</w:t>
      </w:r>
    </w:p>
    <w:p w:rsidR="007D6401" w:rsidRDefault="007D6401" w:rsidP="007D6401">
      <w:pPr>
        <w:spacing w:after="120" w:line="240" w:lineRule="auto"/>
        <w:ind w:firstLine="567"/>
        <w:jc w:val="both"/>
        <w:rPr>
          <w:rFonts w:ascii="Times New Roman" w:hAnsi="Times New Roman"/>
          <w:sz w:val="24"/>
          <w:szCs w:val="24"/>
          <w:lang w:val="ru-RU"/>
        </w:rPr>
      </w:pPr>
      <w:r w:rsidRPr="00BB140F">
        <w:rPr>
          <w:rFonts w:ascii="Times New Roman" w:hAnsi="Times New Roman"/>
          <w:sz w:val="24"/>
          <w:szCs w:val="24"/>
          <w:lang w:val="ru-RU"/>
        </w:rPr>
        <w:t xml:space="preserve">Как уже говорилось выше, российская экономика одна из самых углеродоемких в мире, но, по данным британской неправительственной организации  </w:t>
      </w:r>
      <w:proofErr w:type="spellStart"/>
      <w:r w:rsidRPr="00BB140F">
        <w:rPr>
          <w:rFonts w:ascii="Times New Roman" w:hAnsi="Times New Roman"/>
          <w:sz w:val="24"/>
          <w:szCs w:val="24"/>
          <w:lang w:val="ru-RU"/>
        </w:rPr>
        <w:t>Environmental</w:t>
      </w:r>
      <w:proofErr w:type="spellEnd"/>
      <w:r w:rsidRPr="00BB140F">
        <w:rPr>
          <w:rFonts w:ascii="Times New Roman" w:hAnsi="Times New Roman"/>
          <w:sz w:val="24"/>
          <w:szCs w:val="24"/>
          <w:lang w:val="ru-RU"/>
        </w:rPr>
        <w:t xml:space="preserve"> </w:t>
      </w:r>
      <w:proofErr w:type="spellStart"/>
      <w:r w:rsidRPr="00BB140F">
        <w:rPr>
          <w:rFonts w:ascii="Times New Roman" w:hAnsi="Times New Roman"/>
          <w:sz w:val="24"/>
          <w:szCs w:val="24"/>
          <w:lang w:val="ru-RU"/>
        </w:rPr>
        <w:t>Investment</w:t>
      </w:r>
      <w:proofErr w:type="spellEnd"/>
      <w:r w:rsidRPr="00BB140F">
        <w:rPr>
          <w:rFonts w:ascii="Times New Roman" w:hAnsi="Times New Roman"/>
          <w:sz w:val="24"/>
          <w:szCs w:val="24"/>
          <w:lang w:val="ru-RU"/>
        </w:rPr>
        <w:t xml:space="preserve"> </w:t>
      </w:r>
      <w:proofErr w:type="spellStart"/>
      <w:r w:rsidRPr="00BB140F">
        <w:rPr>
          <w:rFonts w:ascii="Times New Roman" w:hAnsi="Times New Roman"/>
          <w:sz w:val="24"/>
          <w:szCs w:val="24"/>
          <w:lang w:val="ru-RU"/>
        </w:rPr>
        <w:t>Organization</w:t>
      </w:r>
      <w:proofErr w:type="spellEnd"/>
      <w:r w:rsidRPr="00BB140F">
        <w:rPr>
          <w:rFonts w:ascii="Times New Roman" w:hAnsi="Times New Roman"/>
          <w:sz w:val="24"/>
          <w:szCs w:val="24"/>
          <w:lang w:val="ru-RU"/>
        </w:rPr>
        <w:t xml:space="preserve"> (</w:t>
      </w:r>
      <w:proofErr w:type="spellStart"/>
      <w:r w:rsidRPr="00BB140F">
        <w:rPr>
          <w:rFonts w:ascii="Times New Roman" w:hAnsi="Times New Roman"/>
          <w:sz w:val="24"/>
          <w:szCs w:val="24"/>
          <w:lang w:val="ru-RU"/>
        </w:rPr>
        <w:t>EIO</w:t>
      </w:r>
      <w:proofErr w:type="spellEnd"/>
      <w:r w:rsidRPr="00BB140F">
        <w:rPr>
          <w:rFonts w:ascii="Times New Roman" w:hAnsi="Times New Roman"/>
          <w:sz w:val="24"/>
          <w:szCs w:val="24"/>
          <w:lang w:val="ru-RU"/>
        </w:rPr>
        <w:t>),</w:t>
      </w:r>
      <w:r>
        <w:rPr>
          <w:rFonts w:ascii="Times New Roman" w:hAnsi="Times New Roman"/>
          <w:sz w:val="24"/>
          <w:szCs w:val="24"/>
          <w:lang w:val="ru-RU"/>
        </w:rPr>
        <w:t xml:space="preserve"> </w:t>
      </w:r>
      <w:r w:rsidRPr="00BB140F">
        <w:rPr>
          <w:rFonts w:ascii="Times New Roman" w:hAnsi="Times New Roman"/>
          <w:sz w:val="24"/>
          <w:szCs w:val="24"/>
          <w:lang w:val="ru-RU"/>
        </w:rPr>
        <w:t xml:space="preserve">при этом она и одна </w:t>
      </w:r>
      <w:proofErr w:type="gramStart"/>
      <w:r w:rsidRPr="00BB140F">
        <w:rPr>
          <w:rFonts w:ascii="Times New Roman" w:hAnsi="Times New Roman"/>
          <w:sz w:val="24"/>
          <w:szCs w:val="24"/>
          <w:lang w:val="ru-RU"/>
        </w:rPr>
        <w:t>из</w:t>
      </w:r>
      <w:proofErr w:type="gramEnd"/>
      <w:r w:rsidRPr="00BB140F">
        <w:rPr>
          <w:rFonts w:ascii="Times New Roman" w:hAnsi="Times New Roman"/>
          <w:sz w:val="24"/>
          <w:szCs w:val="24"/>
          <w:lang w:val="ru-RU"/>
        </w:rPr>
        <w:t xml:space="preserve"> наименее прозрачных в этом отношении. То есть российские компании находятся на самом дне рейтинга отчетности о парниковых выбросах</w:t>
      </w:r>
      <w:r>
        <w:rPr>
          <w:rFonts w:ascii="Times New Roman" w:hAnsi="Times New Roman"/>
          <w:sz w:val="24"/>
          <w:szCs w:val="24"/>
          <w:lang w:val="ru-RU"/>
        </w:rPr>
        <w:t>.</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Такие рейтинги уже не каприз «</w:t>
      </w:r>
      <w:proofErr w:type="spellStart"/>
      <w:r>
        <w:rPr>
          <w:rFonts w:ascii="Times New Roman" w:hAnsi="Times New Roman"/>
          <w:sz w:val="24"/>
          <w:szCs w:val="24"/>
          <w:lang w:val="ru-RU"/>
        </w:rPr>
        <w:t>экологистов</w:t>
      </w:r>
      <w:proofErr w:type="spellEnd"/>
      <w:r>
        <w:rPr>
          <w:rFonts w:ascii="Times New Roman" w:hAnsi="Times New Roman"/>
          <w:sz w:val="24"/>
          <w:szCs w:val="24"/>
          <w:lang w:val="ru-RU"/>
        </w:rPr>
        <w:t xml:space="preserve">», а инструмент оценки инвесторами т.н. «углеродного следа», парникового загрязнения от производственной деятельности инвестируемой компании. </w:t>
      </w:r>
      <w:proofErr w:type="spellStart"/>
      <w:proofErr w:type="gramStart"/>
      <w:r w:rsidRPr="00BB140F">
        <w:rPr>
          <w:rFonts w:ascii="Times New Roman" w:hAnsi="Times New Roman"/>
          <w:sz w:val="24"/>
          <w:szCs w:val="24"/>
          <w:lang w:val="ru-RU"/>
        </w:rPr>
        <w:t>EIO</w:t>
      </w:r>
      <w:proofErr w:type="spellEnd"/>
      <w:r>
        <w:rPr>
          <w:rFonts w:ascii="Times New Roman" w:hAnsi="Times New Roman"/>
          <w:sz w:val="24"/>
          <w:szCs w:val="24"/>
          <w:lang w:val="ru-RU"/>
        </w:rPr>
        <w:t xml:space="preserve">  разработала концепцию «Экологического слежения» (</w:t>
      </w:r>
      <w:proofErr w:type="spellStart"/>
      <w:r w:rsidRPr="002F4E59">
        <w:rPr>
          <w:rFonts w:ascii="Times New Roman" w:hAnsi="Times New Roman"/>
          <w:sz w:val="24"/>
          <w:szCs w:val="24"/>
          <w:lang w:val="ru-RU"/>
        </w:rPr>
        <w:t>Environmental</w:t>
      </w:r>
      <w:proofErr w:type="spellEnd"/>
      <w:r w:rsidRPr="004C6129">
        <w:rPr>
          <w:rFonts w:ascii="Times New Roman" w:hAnsi="Times New Roman"/>
          <w:sz w:val="24"/>
          <w:szCs w:val="24"/>
          <w:lang w:val="ru-RU"/>
        </w:rPr>
        <w:t xml:space="preserve"> </w:t>
      </w:r>
      <w:proofErr w:type="spellStart"/>
      <w:r w:rsidRPr="002F4E59">
        <w:rPr>
          <w:rFonts w:ascii="Times New Roman" w:hAnsi="Times New Roman"/>
          <w:sz w:val="24"/>
          <w:szCs w:val="24"/>
          <w:lang w:val="ru-RU"/>
        </w:rPr>
        <w:t>tracking</w:t>
      </w:r>
      <w:proofErr w:type="spellEnd"/>
      <w:r w:rsidRPr="004C6129">
        <w:rPr>
          <w:rFonts w:ascii="Times New Roman" w:hAnsi="Times New Roman"/>
          <w:sz w:val="24"/>
          <w:szCs w:val="24"/>
          <w:lang w:val="ru-RU"/>
        </w:rPr>
        <w:t>.</w:t>
      </w:r>
      <w:proofErr w:type="gramEnd"/>
      <w:r w:rsidRPr="004C6129">
        <w:rPr>
          <w:rFonts w:ascii="Times New Roman" w:hAnsi="Times New Roman"/>
          <w:sz w:val="24"/>
          <w:szCs w:val="24"/>
          <w:lang w:val="ru-RU"/>
        </w:rPr>
        <w:t xml:space="preserve">- </w:t>
      </w:r>
      <w:proofErr w:type="spellStart"/>
      <w:proofErr w:type="gramStart"/>
      <w:r w:rsidRPr="002F4E59">
        <w:rPr>
          <w:rFonts w:ascii="Times New Roman" w:hAnsi="Times New Roman"/>
          <w:sz w:val="24"/>
          <w:szCs w:val="24"/>
          <w:lang w:val="ru-RU"/>
        </w:rPr>
        <w:t>ET</w:t>
      </w:r>
      <w:proofErr w:type="spellEnd"/>
      <w:r>
        <w:rPr>
          <w:rFonts w:ascii="Times New Roman" w:hAnsi="Times New Roman"/>
          <w:sz w:val="24"/>
          <w:szCs w:val="24"/>
          <w:lang w:val="ru-RU"/>
        </w:rPr>
        <w:t>),</w:t>
      </w:r>
      <w:r w:rsidRPr="004C6129">
        <w:rPr>
          <w:rFonts w:ascii="Times New Roman" w:hAnsi="Times New Roman"/>
          <w:sz w:val="24"/>
          <w:szCs w:val="24"/>
          <w:lang w:val="ru-RU"/>
        </w:rPr>
        <w:t xml:space="preserve"> </w:t>
      </w:r>
      <w:r>
        <w:rPr>
          <w:rFonts w:ascii="Times New Roman" w:hAnsi="Times New Roman"/>
          <w:sz w:val="24"/>
          <w:szCs w:val="24"/>
          <w:lang w:val="ru-RU"/>
        </w:rPr>
        <w:t xml:space="preserve">в рамках которой «глобальные углеродные рейтинги» получают компании – крупнейшие в мире по уровню рыночной капитализации. </w:t>
      </w:r>
      <w:proofErr w:type="gramEnd"/>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Полные рейтинги будут публикованы в первый день очередного тура глобальный климатических переговоров в Дурбане. Ни одна российская компаний, попавшая в рейтинг, не представила полной информации. Только </w:t>
      </w:r>
      <w:proofErr w:type="spellStart"/>
      <w:r>
        <w:rPr>
          <w:rFonts w:ascii="Times New Roman" w:hAnsi="Times New Roman"/>
          <w:sz w:val="24"/>
          <w:szCs w:val="24"/>
        </w:rPr>
        <w:t>TNK</w:t>
      </w:r>
      <w:proofErr w:type="spellEnd"/>
      <w:r w:rsidRPr="006E51CF">
        <w:rPr>
          <w:rFonts w:ascii="Times New Roman" w:hAnsi="Times New Roman"/>
          <w:sz w:val="24"/>
          <w:szCs w:val="24"/>
          <w:lang w:val="ru-RU"/>
        </w:rPr>
        <w:t>-</w:t>
      </w:r>
      <w:r>
        <w:rPr>
          <w:rFonts w:ascii="Times New Roman" w:hAnsi="Times New Roman"/>
          <w:sz w:val="24"/>
          <w:szCs w:val="24"/>
        </w:rPr>
        <w:t>BP</w:t>
      </w:r>
      <w:r w:rsidRPr="000D19A3">
        <w:rPr>
          <w:rFonts w:ascii="Times New Roman" w:hAnsi="Times New Roman"/>
          <w:sz w:val="24"/>
          <w:szCs w:val="24"/>
          <w:lang w:val="ru-RU"/>
        </w:rPr>
        <w:t xml:space="preserve"> </w:t>
      </w:r>
      <w:r>
        <w:rPr>
          <w:rFonts w:ascii="Times New Roman" w:hAnsi="Times New Roman"/>
          <w:sz w:val="24"/>
          <w:szCs w:val="24"/>
          <w:lang w:val="ru-RU"/>
        </w:rPr>
        <w:t>представила независимо подтвержденные данные.</w:t>
      </w:r>
    </w:p>
    <w:p w:rsidR="007D6401" w:rsidRPr="00850B50"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Рейтинги развиваются с углублением анализа «углеродного следа». Смысл</w:t>
      </w:r>
      <w:r w:rsidRPr="00850B50">
        <w:rPr>
          <w:rFonts w:ascii="Times New Roman" w:hAnsi="Times New Roman"/>
          <w:sz w:val="24"/>
          <w:szCs w:val="24"/>
          <w:lang w:val="ru-RU"/>
        </w:rPr>
        <w:t xml:space="preserve"> </w:t>
      </w:r>
      <w:r>
        <w:rPr>
          <w:rFonts w:ascii="Times New Roman" w:hAnsi="Times New Roman"/>
          <w:sz w:val="24"/>
          <w:szCs w:val="24"/>
          <w:lang w:val="ru-RU"/>
        </w:rPr>
        <w:t>углубленного</w:t>
      </w:r>
      <w:r w:rsidRPr="00850B50">
        <w:rPr>
          <w:rFonts w:ascii="Times New Roman" w:hAnsi="Times New Roman"/>
          <w:sz w:val="24"/>
          <w:szCs w:val="24"/>
          <w:lang w:val="ru-RU"/>
        </w:rPr>
        <w:t xml:space="preserve"> </w:t>
      </w:r>
      <w:r>
        <w:rPr>
          <w:rFonts w:ascii="Times New Roman" w:hAnsi="Times New Roman"/>
          <w:sz w:val="24"/>
          <w:szCs w:val="24"/>
          <w:lang w:val="ru-RU"/>
        </w:rPr>
        <w:t>анализа</w:t>
      </w:r>
      <w:r w:rsidRPr="00850B50">
        <w:rPr>
          <w:rFonts w:ascii="Times New Roman" w:hAnsi="Times New Roman"/>
          <w:sz w:val="24"/>
          <w:szCs w:val="24"/>
          <w:lang w:val="ru-RU"/>
        </w:rPr>
        <w:t xml:space="preserve"> </w:t>
      </w:r>
      <w:r>
        <w:rPr>
          <w:rFonts w:ascii="Times New Roman" w:hAnsi="Times New Roman"/>
          <w:sz w:val="24"/>
          <w:szCs w:val="24"/>
          <w:lang w:val="ru-RU"/>
        </w:rPr>
        <w:t>хорошо иллюстрируется примером банковской деятельности. Прямое парниковое загрязнение от деятельности банков ограничено потреблением электричества. Главный же «углеродный след» оставляет кредитно-финансовая политика.</w:t>
      </w:r>
      <w:r>
        <w:rPr>
          <w:rStyle w:val="ad"/>
          <w:rFonts w:ascii="Times New Roman" w:hAnsi="Times New Roman"/>
          <w:sz w:val="24"/>
          <w:szCs w:val="24"/>
          <w:lang w:val="ru-RU"/>
        </w:rPr>
        <w:footnoteReference w:id="31"/>
      </w:r>
      <w:r>
        <w:rPr>
          <w:rFonts w:ascii="Times New Roman" w:hAnsi="Times New Roman"/>
          <w:sz w:val="24"/>
          <w:szCs w:val="24"/>
          <w:lang w:val="ru-RU"/>
        </w:rPr>
        <w:t xml:space="preserve"> </w:t>
      </w:r>
    </w:p>
    <w:p w:rsidR="007D6401" w:rsidRDefault="007D6401" w:rsidP="007D6401">
      <w:pPr>
        <w:spacing w:after="120" w:line="240" w:lineRule="auto"/>
        <w:rPr>
          <w:rFonts w:ascii="Times New Roman" w:hAnsi="Times New Roman"/>
          <w:b/>
          <w:i/>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 xml:space="preserve"> Страхование</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Невостребованными остаются передовые страховые технологии и продукты. Ярким примером является </w:t>
      </w:r>
      <w:proofErr w:type="spellStart"/>
      <w:r>
        <w:rPr>
          <w:rFonts w:ascii="Times New Roman" w:hAnsi="Times New Roman"/>
          <w:sz w:val="24"/>
          <w:szCs w:val="24"/>
          <w:lang w:val="ru-RU"/>
        </w:rPr>
        <w:t>невостребованность</w:t>
      </w:r>
      <w:proofErr w:type="spellEnd"/>
      <w:r>
        <w:rPr>
          <w:rFonts w:ascii="Times New Roman" w:hAnsi="Times New Roman"/>
          <w:sz w:val="24"/>
          <w:szCs w:val="24"/>
          <w:lang w:val="ru-RU"/>
        </w:rPr>
        <w:t xml:space="preserve"> специально разработанной линейки продуктов </w:t>
      </w:r>
      <w:proofErr w:type="spellStart"/>
      <w:r>
        <w:rPr>
          <w:rFonts w:ascii="Times New Roman" w:hAnsi="Times New Roman"/>
          <w:sz w:val="24"/>
          <w:szCs w:val="24"/>
          <w:lang w:val="ru-RU"/>
        </w:rPr>
        <w:t>СК</w:t>
      </w:r>
      <w:proofErr w:type="spellEnd"/>
      <w:r>
        <w:rPr>
          <w:rFonts w:ascii="Times New Roman" w:hAnsi="Times New Roman"/>
          <w:sz w:val="24"/>
          <w:szCs w:val="24"/>
          <w:lang w:val="ru-RU"/>
        </w:rPr>
        <w:t xml:space="preserve"> РОСНО «Углеродное страхование» и связанных с ним сюрвейерских и прочих услуг.</w:t>
      </w:r>
    </w:p>
    <w:p w:rsidR="007D6401" w:rsidRDefault="007D6401" w:rsidP="007D6401">
      <w:pPr>
        <w:spacing w:after="120" w:line="240" w:lineRule="auto"/>
        <w:ind w:firstLine="567"/>
        <w:jc w:val="both"/>
        <w:rPr>
          <w:rFonts w:ascii="Times New Roman" w:hAnsi="Times New Roman"/>
          <w:sz w:val="24"/>
          <w:szCs w:val="24"/>
          <w:lang w:val="ru-RU"/>
        </w:rPr>
      </w:pPr>
    </w:p>
    <w:p w:rsidR="007D6401" w:rsidRPr="00874ACC" w:rsidRDefault="007D6401" w:rsidP="007D6401">
      <w:pPr>
        <w:spacing w:after="120" w:line="240" w:lineRule="auto"/>
        <w:rPr>
          <w:rFonts w:ascii="Times New Roman" w:hAnsi="Times New Roman"/>
          <w:b/>
          <w:i/>
          <w:sz w:val="24"/>
          <w:szCs w:val="24"/>
          <w:lang w:val="ru-RU"/>
        </w:rPr>
      </w:pPr>
      <w:r w:rsidRPr="00874ACC">
        <w:rPr>
          <w:rFonts w:ascii="Times New Roman" w:hAnsi="Times New Roman"/>
          <w:b/>
          <w:i/>
          <w:sz w:val="24"/>
          <w:szCs w:val="24"/>
          <w:lang w:val="ru-RU"/>
        </w:rPr>
        <w:t xml:space="preserve"> Жилищно-коммунальное хозяйство</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Хронический дефицит финансирования не позволяет модернизировать или даже содержать в порядке основные фонды, инфраструктуру теплоснабжения, санировать старые и открывать новые современные полигоны </w:t>
      </w:r>
      <w:proofErr w:type="spellStart"/>
      <w:r>
        <w:rPr>
          <w:rFonts w:ascii="Times New Roman" w:hAnsi="Times New Roman"/>
          <w:sz w:val="24"/>
          <w:szCs w:val="24"/>
          <w:lang w:val="ru-RU"/>
        </w:rPr>
        <w:t>ТБО</w:t>
      </w:r>
      <w:proofErr w:type="spellEnd"/>
      <w:r>
        <w:rPr>
          <w:rFonts w:ascii="Times New Roman" w:hAnsi="Times New Roman"/>
          <w:sz w:val="24"/>
          <w:szCs w:val="24"/>
          <w:lang w:val="ru-RU"/>
        </w:rPr>
        <w:t xml:space="preserve"> и т.д.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Между тем, здесь сокрыт огромный потенциал энергосбережения, </w:t>
      </w:r>
      <w:proofErr w:type="spellStart"/>
      <w:r>
        <w:rPr>
          <w:rFonts w:ascii="Times New Roman" w:hAnsi="Times New Roman"/>
          <w:sz w:val="24"/>
          <w:szCs w:val="24"/>
          <w:lang w:val="ru-RU"/>
        </w:rPr>
        <w:t>маркетизация</w:t>
      </w:r>
      <w:proofErr w:type="spellEnd"/>
      <w:r>
        <w:rPr>
          <w:rFonts w:ascii="Times New Roman" w:hAnsi="Times New Roman"/>
          <w:sz w:val="24"/>
          <w:szCs w:val="24"/>
          <w:lang w:val="ru-RU"/>
        </w:rPr>
        <w:t xml:space="preserve"> которого позволила бы создать источник необходимых инвестиций. </w:t>
      </w:r>
    </w:p>
    <w:p w:rsidR="007D6401" w:rsidRDefault="007D6401" w:rsidP="007D6401">
      <w:pPr>
        <w:tabs>
          <w:tab w:val="left" w:pos="2744"/>
        </w:tabs>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ab/>
      </w:r>
    </w:p>
    <w:p w:rsidR="007D6401" w:rsidRDefault="007D6401" w:rsidP="007D6401">
      <w:pPr>
        <w:pStyle w:val="2"/>
        <w:rPr>
          <w:rFonts w:ascii="Times New Roman" w:hAnsi="Times New Roman"/>
          <w:color w:val="auto"/>
          <w:lang w:val="ru-RU"/>
        </w:rPr>
      </w:pPr>
      <w:r w:rsidRPr="000A5002">
        <w:rPr>
          <w:rFonts w:ascii="Times New Roman" w:hAnsi="Times New Roman"/>
          <w:color w:val="auto"/>
          <w:lang w:val="ru-RU"/>
        </w:rPr>
        <w:t>Оценка рисков: некоторые выводы</w:t>
      </w:r>
    </w:p>
    <w:p w:rsidR="007D6401" w:rsidRPr="00FE6180" w:rsidRDefault="007D6401" w:rsidP="007D6401">
      <w:pPr>
        <w:rPr>
          <w:lang w:val="ru-RU"/>
        </w:rPr>
      </w:pP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1. Ужесточение требований по снижению выбросов парниковых газов в мире уже в ближайшей перспективе не вызывает сомнений. Для многих российских компаний это приведет к увеличению рисков «климатического» регулирования, потере доходов, вытеснению с традиционных рынков сбыта продукции  и услуг, связанными с переориентации мировой экономики на </w:t>
      </w:r>
      <w:proofErr w:type="spellStart"/>
      <w:r w:rsidRPr="004D4384">
        <w:rPr>
          <w:rFonts w:ascii="Times New Roman" w:hAnsi="Times New Roman"/>
          <w:sz w:val="24"/>
          <w:szCs w:val="24"/>
          <w:lang w:val="ru-RU"/>
        </w:rPr>
        <w:t>низкоуглеродные</w:t>
      </w:r>
      <w:proofErr w:type="spellEnd"/>
      <w:r w:rsidRPr="004D4384">
        <w:rPr>
          <w:rFonts w:ascii="Times New Roman" w:hAnsi="Times New Roman"/>
          <w:sz w:val="24"/>
          <w:szCs w:val="24"/>
          <w:lang w:val="ru-RU"/>
        </w:rPr>
        <w:t xml:space="preserve"> технологии, где позиции России пока крайне слабы.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2. В настоящее время своеобразным «зонтиком» для России является ее участие в Киотском протоколе. Имея международные обязательства по ограничению выбросов парниковых газов, Россия имеет возможность защищать свои предприятия, предоставлять им </w:t>
      </w:r>
      <w:r>
        <w:rPr>
          <w:rFonts w:ascii="Times New Roman" w:hAnsi="Times New Roman"/>
          <w:sz w:val="24"/>
          <w:szCs w:val="24"/>
          <w:lang w:val="ru-RU"/>
        </w:rPr>
        <w:t xml:space="preserve">кредиты и </w:t>
      </w:r>
      <w:r w:rsidRPr="004D4384">
        <w:rPr>
          <w:rFonts w:ascii="Times New Roman" w:hAnsi="Times New Roman"/>
          <w:sz w:val="24"/>
          <w:szCs w:val="24"/>
          <w:lang w:val="ru-RU"/>
        </w:rPr>
        <w:t xml:space="preserve">квоты на выбросы (под целевые углеродные проекты и иными способами). </w:t>
      </w:r>
    </w:p>
    <w:p w:rsidR="007D6401" w:rsidRPr="004D4384" w:rsidRDefault="007D6401" w:rsidP="007D6401">
      <w:pPr>
        <w:spacing w:after="120" w:line="240" w:lineRule="auto"/>
        <w:ind w:firstLine="567"/>
        <w:jc w:val="both"/>
        <w:rPr>
          <w:rFonts w:ascii="Times New Roman" w:hAnsi="Times New Roman"/>
          <w:sz w:val="24"/>
          <w:szCs w:val="24"/>
          <w:lang w:val="ru-RU"/>
        </w:rPr>
      </w:pPr>
      <w:proofErr w:type="gramStart"/>
      <w:r w:rsidRPr="004D4384">
        <w:rPr>
          <w:rFonts w:ascii="Times New Roman" w:hAnsi="Times New Roman"/>
          <w:sz w:val="24"/>
          <w:szCs w:val="24"/>
          <w:lang w:val="ru-RU"/>
        </w:rPr>
        <w:t xml:space="preserve">Однако по окончании действия Киотского протокола в 2012 году, в </w:t>
      </w:r>
      <w:r>
        <w:rPr>
          <w:rFonts w:ascii="Times New Roman" w:hAnsi="Times New Roman"/>
          <w:sz w:val="24"/>
          <w:szCs w:val="24"/>
          <w:lang w:val="ru-RU"/>
        </w:rPr>
        <w:t xml:space="preserve">случае неучастия России в </w:t>
      </w:r>
      <w:proofErr w:type="spellStart"/>
      <w:r>
        <w:rPr>
          <w:rFonts w:ascii="Times New Roman" w:hAnsi="Times New Roman"/>
          <w:sz w:val="24"/>
          <w:szCs w:val="24"/>
          <w:lang w:val="ru-RU"/>
        </w:rPr>
        <w:t>пост-К</w:t>
      </w:r>
      <w:r w:rsidRPr="004D4384">
        <w:rPr>
          <w:rFonts w:ascii="Times New Roman" w:hAnsi="Times New Roman"/>
          <w:sz w:val="24"/>
          <w:szCs w:val="24"/>
          <w:lang w:val="ru-RU"/>
        </w:rPr>
        <w:t>иотском</w:t>
      </w:r>
      <w:proofErr w:type="spellEnd"/>
      <w:r w:rsidRPr="004D4384">
        <w:rPr>
          <w:rFonts w:ascii="Times New Roman" w:hAnsi="Times New Roman"/>
          <w:sz w:val="24"/>
          <w:szCs w:val="24"/>
          <w:lang w:val="ru-RU"/>
        </w:rPr>
        <w:t xml:space="preserve"> соглашении (о чем постоянно заявляет российская делегация на переговорах по </w:t>
      </w:r>
      <w:proofErr w:type="spellStart"/>
      <w:r w:rsidRPr="004D4384">
        <w:rPr>
          <w:rFonts w:ascii="Times New Roman" w:hAnsi="Times New Roman"/>
          <w:sz w:val="24"/>
          <w:szCs w:val="24"/>
          <w:lang w:val="ru-RU"/>
        </w:rPr>
        <w:t>РКИК</w:t>
      </w:r>
      <w:proofErr w:type="spellEnd"/>
      <w:r w:rsidRPr="004D4384">
        <w:rPr>
          <w:rFonts w:ascii="Times New Roman" w:hAnsi="Times New Roman"/>
          <w:sz w:val="24"/>
          <w:szCs w:val="24"/>
          <w:lang w:val="ru-RU"/>
        </w:rPr>
        <w:t xml:space="preserve"> ООН), будет утрачена не только возможность юридической и политической защиты интересов национальных компаний от более жестких требований и стандартов, но фактически потеряны все сэкономленные квоты. </w:t>
      </w:r>
      <w:proofErr w:type="gramEnd"/>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По самым консервативным оценкам, до 2020 года эти потери составят свыше 12 млрд. тонн СО</w:t>
      </w:r>
      <w:r w:rsidRPr="004D4384">
        <w:rPr>
          <w:rFonts w:ascii="Times New Roman" w:hAnsi="Times New Roman"/>
          <w:sz w:val="24"/>
          <w:szCs w:val="24"/>
          <w:vertAlign w:val="subscript"/>
          <w:lang w:val="ru-RU"/>
        </w:rPr>
        <w:t>2</w:t>
      </w:r>
      <w:r w:rsidRPr="004D4384">
        <w:rPr>
          <w:rFonts w:ascii="Times New Roman" w:hAnsi="Times New Roman"/>
          <w:sz w:val="24"/>
          <w:szCs w:val="24"/>
          <w:lang w:val="ru-RU"/>
        </w:rPr>
        <w:t xml:space="preserve">-экв. (более 200 млрд. евро), что в совокупности с ущербом от потери конкурентоспособности в ряде отраслей может составить 2,5-3% ВВП/год. Кроме того, </w:t>
      </w:r>
      <w:r>
        <w:rPr>
          <w:rFonts w:ascii="Times New Roman" w:hAnsi="Times New Roman"/>
          <w:sz w:val="24"/>
          <w:szCs w:val="24"/>
          <w:lang w:val="ru-RU"/>
        </w:rPr>
        <w:t xml:space="preserve">не </w:t>
      </w:r>
      <w:r w:rsidRPr="004D4384">
        <w:rPr>
          <w:rFonts w:ascii="Times New Roman" w:hAnsi="Times New Roman"/>
          <w:sz w:val="24"/>
          <w:szCs w:val="24"/>
          <w:lang w:val="ru-RU"/>
        </w:rPr>
        <w:t xml:space="preserve">будут </w:t>
      </w:r>
      <w:proofErr w:type="gramStart"/>
      <w:r w:rsidRPr="004D4384">
        <w:rPr>
          <w:rFonts w:ascii="Times New Roman" w:hAnsi="Times New Roman"/>
          <w:sz w:val="24"/>
          <w:szCs w:val="24"/>
          <w:lang w:val="ru-RU"/>
        </w:rPr>
        <w:t>использованы</w:t>
      </w:r>
      <w:proofErr w:type="gramEnd"/>
      <w:r w:rsidRPr="004D4384">
        <w:rPr>
          <w:rFonts w:ascii="Times New Roman" w:hAnsi="Times New Roman"/>
          <w:sz w:val="24"/>
          <w:szCs w:val="24"/>
          <w:lang w:val="ru-RU"/>
        </w:rPr>
        <w:t xml:space="preserve">/потеряны возможности обеспечения занятости свыше 1 млн. человек.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3. Крайне вероятна потеря конкурентных преимуществ на отраслевых рынках (ави</w:t>
      </w:r>
      <w:proofErr w:type="gramStart"/>
      <w:r w:rsidRPr="004D4384">
        <w:rPr>
          <w:rFonts w:ascii="Times New Roman" w:hAnsi="Times New Roman"/>
          <w:sz w:val="24"/>
          <w:szCs w:val="24"/>
          <w:lang w:val="ru-RU"/>
        </w:rPr>
        <w:t>а-</w:t>
      </w:r>
      <w:proofErr w:type="gramEnd"/>
      <w:r w:rsidRPr="004D4384">
        <w:rPr>
          <w:rFonts w:ascii="Times New Roman" w:hAnsi="Times New Roman"/>
          <w:sz w:val="24"/>
          <w:szCs w:val="24"/>
          <w:lang w:val="ru-RU"/>
        </w:rPr>
        <w:t xml:space="preserve"> и морские перевозки, металлургия, цементная промышленность, электроэнергетика, ЦБК и др.), отставание в развитии и внедрении </w:t>
      </w:r>
      <w:proofErr w:type="spellStart"/>
      <w:r w:rsidRPr="004D4384">
        <w:rPr>
          <w:rFonts w:ascii="Times New Roman" w:hAnsi="Times New Roman"/>
          <w:sz w:val="24"/>
          <w:szCs w:val="24"/>
          <w:lang w:val="ru-RU"/>
        </w:rPr>
        <w:t>низкоуглеродных</w:t>
      </w:r>
      <w:proofErr w:type="spellEnd"/>
      <w:r w:rsidRPr="004D4384">
        <w:rPr>
          <w:rFonts w:ascii="Times New Roman" w:hAnsi="Times New Roman"/>
          <w:sz w:val="24"/>
          <w:szCs w:val="24"/>
          <w:lang w:val="ru-RU"/>
        </w:rPr>
        <w:t xml:space="preserve"> технологий и, как следствие, невозможность занятия ниши на перспективных рынках </w:t>
      </w:r>
      <w:proofErr w:type="spellStart"/>
      <w:r w:rsidRPr="004D4384">
        <w:rPr>
          <w:rFonts w:ascii="Times New Roman" w:hAnsi="Times New Roman"/>
          <w:sz w:val="24"/>
          <w:szCs w:val="24"/>
          <w:lang w:val="ru-RU"/>
        </w:rPr>
        <w:t>энергоэффективных</w:t>
      </w:r>
      <w:proofErr w:type="spellEnd"/>
      <w:r w:rsidRPr="004D4384">
        <w:rPr>
          <w:rFonts w:ascii="Times New Roman" w:hAnsi="Times New Roman"/>
          <w:sz w:val="24"/>
          <w:szCs w:val="24"/>
          <w:lang w:val="ru-RU"/>
        </w:rPr>
        <w:t>, энергосберегающих технологий, технологий использования возобновляемых источников энергии.</w:t>
      </w:r>
    </w:p>
    <w:p w:rsidR="007D6401" w:rsidRDefault="007D6401" w:rsidP="007D6401">
      <w:pPr>
        <w:spacing w:after="120" w:line="240" w:lineRule="auto"/>
        <w:ind w:firstLine="567"/>
        <w:jc w:val="both"/>
        <w:rPr>
          <w:rFonts w:ascii="Times New Roman" w:hAnsi="Times New Roman"/>
          <w:sz w:val="24"/>
          <w:szCs w:val="24"/>
          <w:lang w:val="ru-RU"/>
        </w:rPr>
      </w:pPr>
      <w:r w:rsidRPr="00CD6B7D">
        <w:rPr>
          <w:rFonts w:ascii="Times New Roman" w:hAnsi="Times New Roman"/>
          <w:sz w:val="24"/>
          <w:szCs w:val="24"/>
          <w:lang w:val="ru-RU"/>
        </w:rPr>
        <w:t>Поскольку (по данным Международного энергетического агентства) наибольший потенциал энергосбережения в глобальном масштабе сосредоточен в производстве цемента</w:t>
      </w:r>
      <w:r>
        <w:rPr>
          <w:rFonts w:ascii="Times New Roman" w:hAnsi="Times New Roman"/>
          <w:sz w:val="24"/>
          <w:szCs w:val="24"/>
          <w:lang w:val="ru-RU"/>
        </w:rPr>
        <w:t>, химическом производстве, металлургии</w:t>
      </w:r>
      <w:r w:rsidRPr="00CD6B7D">
        <w:rPr>
          <w:rFonts w:ascii="Times New Roman" w:hAnsi="Times New Roman"/>
          <w:sz w:val="24"/>
          <w:szCs w:val="24"/>
          <w:lang w:val="ru-RU"/>
        </w:rPr>
        <w:t xml:space="preserve">, то следует признать именно этих </w:t>
      </w:r>
      <w:r w:rsidRPr="00CD6B7D">
        <w:rPr>
          <w:rFonts w:ascii="Times New Roman" w:hAnsi="Times New Roman"/>
          <w:sz w:val="24"/>
          <w:szCs w:val="24"/>
          <w:lang w:val="ru-RU"/>
        </w:rPr>
        <w:lastRenderedPageBreak/>
        <w:t>производителей наиболее уязвимыми для потенциальных протекционистских мер, наиболее вероятными объектами давления экономического и внеэкономического характера. За ними следуют целлюлозно-бумажное производство и производство алюминия и цветных металлов.</w:t>
      </w:r>
    </w:p>
    <w:p w:rsidR="007D6401" w:rsidRPr="004D4384" w:rsidRDefault="007D6401" w:rsidP="007D6401">
      <w:pPr>
        <w:spacing w:after="120" w:line="240" w:lineRule="auto"/>
        <w:ind w:firstLine="567"/>
        <w:jc w:val="both"/>
        <w:rPr>
          <w:rFonts w:ascii="Times New Roman" w:hAnsi="Times New Roman"/>
          <w:sz w:val="24"/>
          <w:szCs w:val="24"/>
          <w:lang w:val="ru-RU"/>
        </w:rPr>
      </w:pPr>
      <w:r w:rsidRPr="00CD6B7D">
        <w:rPr>
          <w:rFonts w:ascii="Times New Roman" w:hAnsi="Times New Roman"/>
          <w:sz w:val="24"/>
          <w:szCs w:val="24"/>
          <w:lang w:val="ru-RU"/>
        </w:rPr>
        <w:t>Что касается потенциала энергосбережения по типам применяемых технологий и оборудования, то наибольшие возможности, по данным Международного энергетического агентства, сокрыты в модернизации двигателей, в частности, в применении частотно-регулируемых приводов, в применении комбинированных систем тепл</w:t>
      </w:r>
      <w:proofErr w:type="gramStart"/>
      <w:r w:rsidRPr="00CD6B7D">
        <w:rPr>
          <w:rFonts w:ascii="Times New Roman" w:hAnsi="Times New Roman"/>
          <w:sz w:val="24"/>
          <w:szCs w:val="24"/>
          <w:lang w:val="ru-RU"/>
        </w:rPr>
        <w:t>о-</w:t>
      </w:r>
      <w:proofErr w:type="gramEnd"/>
      <w:r w:rsidRPr="00CD6B7D">
        <w:rPr>
          <w:rFonts w:ascii="Times New Roman" w:hAnsi="Times New Roman"/>
          <w:sz w:val="24"/>
          <w:szCs w:val="24"/>
          <w:lang w:val="ru-RU"/>
        </w:rPr>
        <w:t xml:space="preserve"> энергоснабжения, парогазовых систем и других. Это потенциал, безусловно, заслуживает внимания с точки зрения российской энергетической политики, тем более значительная часть его доступна через крупные системы трубопроводные, энергетические системы, однако, он в значительной меньшей степени уязвим для мер воздействия извне, со стороны зарубежных государств или международных организаций.  Поэтому, как следует ожидать применения протекционистских мер именно по отраслевому принципу, так и по отраслевому же принципу следует планировать меры реагирования.</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4. Даже при отсутствии нового глобального соглашения о количественных ограничениях выбросов парниковых газов введение национальных рыночных механизмов стимулирования сокращения выбросов парниковых газов позволит не только сохранить присутствие  на международном «углеродном» рынке, но и решить масштабные задачи государственной энергетической и промышленно-технической политики.</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Введение системы экономического регулирования выбросов парниковых газов с применением рыночных механизмов позволяет радикально изменить подход к достижению таких целей как снижение энергоемкости ВНП на 40% и повышение доли выработки тепло- и электроэнергии на основе </w:t>
      </w:r>
      <w:proofErr w:type="spellStart"/>
      <w:r w:rsidRPr="004D4384">
        <w:rPr>
          <w:rFonts w:ascii="Times New Roman" w:hAnsi="Times New Roman"/>
          <w:sz w:val="24"/>
          <w:szCs w:val="24"/>
          <w:lang w:val="ru-RU"/>
        </w:rPr>
        <w:t>ВИЭ</w:t>
      </w:r>
      <w:proofErr w:type="spellEnd"/>
      <w:r w:rsidRPr="004D4384">
        <w:rPr>
          <w:rFonts w:ascii="Times New Roman" w:hAnsi="Times New Roman"/>
          <w:sz w:val="24"/>
          <w:szCs w:val="24"/>
          <w:lang w:val="ru-RU"/>
        </w:rPr>
        <w:t xml:space="preserve"> до 4,5% к 2020 г. </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Традиционное регулирование предписывает  что, когда и как нужно делать, чтобы достичь целей повышения энергоэффективности, снижения энергоемкости.  Осуществления большого количества разрозненных мероприятий технического, нормативного, фискального характера, которые с трудом поддаются эффективному контролю, несут значительных коррупционный потенциал, в конечном счете, не гарантирует достижения запланированных показателей в общегосударственном масштабе. Установление общего показателя снижения выбросов парниковых газов для энергетики, промышленности, транспорта, ЖКХ на основе прямого пересчета цели по снижению энергоемкости ВНП в CO</w:t>
      </w:r>
      <w:r w:rsidRPr="004D4384">
        <w:rPr>
          <w:rFonts w:ascii="Times New Roman" w:hAnsi="Times New Roman"/>
          <w:sz w:val="24"/>
          <w:szCs w:val="24"/>
          <w:vertAlign w:val="subscript"/>
          <w:lang w:val="ru-RU"/>
        </w:rPr>
        <w:t>2</w:t>
      </w:r>
      <w:r w:rsidRPr="004D4384">
        <w:rPr>
          <w:rFonts w:ascii="Times New Roman" w:hAnsi="Times New Roman"/>
          <w:sz w:val="24"/>
          <w:szCs w:val="24"/>
          <w:lang w:val="ru-RU"/>
        </w:rPr>
        <w:t xml:space="preserve">-эквивалент решает эту проблему. Предоставление права эмиттерам приобретать или переуступать права на эмиссию одновременно с введением штрафных санкций за превышение квот позволяет достичь запланированного показателя наиболее экономичным способом. А перераспределение квот между отраслями и секторами позволяет эффективно решать задачи энергетической и промышленной политики, ужесточая требования для тех секторов, которые, обладая достаточным финансовым, технологическим потенциалом, не вкладывают достаточно средств в модернизацию производства, </w:t>
      </w:r>
      <w:proofErr w:type="gramStart"/>
      <w:r w:rsidRPr="004D4384">
        <w:rPr>
          <w:rFonts w:ascii="Times New Roman" w:hAnsi="Times New Roman"/>
          <w:sz w:val="24"/>
          <w:szCs w:val="24"/>
          <w:lang w:val="ru-RU"/>
        </w:rPr>
        <w:t>и</w:t>
      </w:r>
      <w:proofErr w:type="gramEnd"/>
      <w:r w:rsidRPr="004D4384">
        <w:rPr>
          <w:rFonts w:ascii="Times New Roman" w:hAnsi="Times New Roman"/>
          <w:sz w:val="24"/>
          <w:szCs w:val="24"/>
          <w:lang w:val="ru-RU"/>
        </w:rPr>
        <w:t xml:space="preserve"> направляя инвестиционные средства в те отрасли и сектора, которые не могут преодолеть отставание в силу объективных финансовых трудностей. </w:t>
      </w:r>
    </w:p>
    <w:p w:rsidR="007D6401"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При этом возможность достичь своих показателей за счет приобретения сертификатов возобновляемой энергетики явится мощным стимулом развития </w:t>
      </w:r>
      <w:proofErr w:type="spellStart"/>
      <w:r w:rsidRPr="004D4384">
        <w:rPr>
          <w:rFonts w:ascii="Times New Roman" w:hAnsi="Times New Roman"/>
          <w:sz w:val="24"/>
          <w:szCs w:val="24"/>
          <w:lang w:val="ru-RU"/>
        </w:rPr>
        <w:t>ВИЭ</w:t>
      </w:r>
      <w:proofErr w:type="spellEnd"/>
      <w:r w:rsidRPr="004D4384">
        <w:rPr>
          <w:rFonts w:ascii="Times New Roman" w:hAnsi="Times New Roman"/>
          <w:sz w:val="24"/>
          <w:szCs w:val="24"/>
          <w:lang w:val="ru-RU"/>
        </w:rPr>
        <w:t>, сформирует новый источник инвестиций для них.</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hAnsi="Times New Roman"/>
          <w:sz w:val="24"/>
          <w:szCs w:val="24"/>
          <w:lang w:val="ru-RU"/>
        </w:rPr>
        <w:t>5. С</w:t>
      </w:r>
      <w:r>
        <w:rPr>
          <w:rFonts w:ascii="Times New Roman" w:eastAsia="Times New Roman" w:hAnsi="Times New Roman"/>
          <w:color w:val="000000"/>
          <w:sz w:val="24"/>
          <w:szCs w:val="24"/>
          <w:lang w:val="ru-RU"/>
        </w:rPr>
        <w:t xml:space="preserve">ущественный риск для российских загрязнителей атмосферы заключается в том, что отсутствие тех или иных механизмов парникового регулирования не избавляет от неизбежной перспективы ужесточения экологических нормативов, тогда как </w:t>
      </w:r>
      <w:proofErr w:type="gramStart"/>
      <w:r>
        <w:rPr>
          <w:rFonts w:ascii="Times New Roman" w:eastAsia="Times New Roman" w:hAnsi="Times New Roman"/>
          <w:color w:val="000000"/>
          <w:sz w:val="24"/>
          <w:szCs w:val="24"/>
          <w:lang w:val="ru-RU"/>
        </w:rPr>
        <w:lastRenderedPageBreak/>
        <w:t>экономические механизмы</w:t>
      </w:r>
      <w:proofErr w:type="gramEnd"/>
      <w:r>
        <w:rPr>
          <w:rFonts w:ascii="Times New Roman" w:eastAsia="Times New Roman" w:hAnsi="Times New Roman"/>
          <w:color w:val="000000"/>
          <w:sz w:val="24"/>
          <w:szCs w:val="24"/>
          <w:lang w:val="ru-RU"/>
        </w:rPr>
        <w:t xml:space="preserve"> контроля парниковых выбросов могут оказаться лучшей альтернативой. </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Выбор заключается не во введении или не введении механизмов контроля парниковых эмиссий. Это выбор между собственным российским механизмом и внешним регулированием, между административно-командным нормированием и экономическим регулированием. </w:t>
      </w:r>
    </w:p>
    <w:p w:rsidR="007D6401" w:rsidRDefault="007D6401" w:rsidP="007D6401">
      <w:pPr>
        <w:spacing w:before="100" w:beforeAutospacing="1" w:after="100" w:afterAutospacing="1" w:line="240" w:lineRule="auto"/>
        <w:ind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6. Финансовые риски связаны с неизбежными затруднениями в получении поддержки крупнейших финансовых институтов не только российскими эмиттерами, но собственно российскими банками, если их кредитно-финансовая политика не будет вполне соответствовать представлениям кредиторов об экологической ответственности. </w:t>
      </w:r>
    </w:p>
    <w:p w:rsidR="007D6401" w:rsidRPr="004D4384" w:rsidRDefault="007D6401" w:rsidP="007D6401">
      <w:pPr>
        <w:spacing w:before="100" w:beforeAutospacing="1" w:after="100" w:afterAutospacing="1" w:line="240" w:lineRule="auto"/>
        <w:ind w:firstLine="567"/>
        <w:jc w:val="both"/>
        <w:rPr>
          <w:rFonts w:ascii="Times New Roman" w:hAnsi="Times New Roman"/>
          <w:sz w:val="24"/>
          <w:szCs w:val="24"/>
          <w:lang w:val="ru-RU"/>
        </w:rPr>
      </w:pPr>
      <w:r>
        <w:rPr>
          <w:rFonts w:ascii="Times New Roman" w:eastAsia="Times New Roman" w:hAnsi="Times New Roman"/>
          <w:color w:val="000000"/>
          <w:sz w:val="24"/>
          <w:szCs w:val="24"/>
          <w:lang w:val="ru-RU"/>
        </w:rPr>
        <w:t xml:space="preserve">Доступ к международным финансовым ресурсам будет все более затруднен в случае отсутствия механизмов контроля парниковых выбросов на государственном уровне и на корпоративном.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7</w:t>
      </w:r>
      <w:r w:rsidRPr="004D4384">
        <w:rPr>
          <w:rFonts w:ascii="Times New Roman" w:hAnsi="Times New Roman"/>
          <w:sz w:val="24"/>
          <w:szCs w:val="24"/>
          <w:lang w:val="ru-RU"/>
        </w:rPr>
        <w:t>. Ближайшая перспектива развития общего евразийского экономического пространства (</w:t>
      </w:r>
      <w:proofErr w:type="spellStart"/>
      <w:r w:rsidRPr="004D4384">
        <w:rPr>
          <w:rFonts w:ascii="Times New Roman" w:hAnsi="Times New Roman"/>
          <w:sz w:val="24"/>
          <w:szCs w:val="24"/>
          <w:lang w:val="ru-RU"/>
        </w:rPr>
        <w:t>ЕЭП</w:t>
      </w:r>
      <w:proofErr w:type="spellEnd"/>
      <w:r w:rsidRPr="004D4384">
        <w:rPr>
          <w:rFonts w:ascii="Times New Roman" w:hAnsi="Times New Roman"/>
          <w:sz w:val="24"/>
          <w:szCs w:val="24"/>
          <w:lang w:val="ru-RU"/>
        </w:rPr>
        <w:t xml:space="preserve">), межгосударственная интеграция, введение единых стандартов и требований к товарам и услугам, унифицированных с европейскими требованиями в русле концепции «Большой Европы», немыслима без согласованного подхода к механизмам контроля парниковых выбросов как квинтэссенции  климатической политики. Среди крупнейших потенциальных партнеров по формированию </w:t>
      </w:r>
      <w:proofErr w:type="spellStart"/>
      <w:r w:rsidRPr="004D4384">
        <w:rPr>
          <w:rFonts w:ascii="Times New Roman" w:hAnsi="Times New Roman"/>
          <w:sz w:val="24"/>
          <w:szCs w:val="24"/>
          <w:lang w:val="ru-RU"/>
        </w:rPr>
        <w:t>ЕЭП</w:t>
      </w:r>
      <w:proofErr w:type="spellEnd"/>
      <w:r w:rsidRPr="004D4384">
        <w:rPr>
          <w:rFonts w:ascii="Times New Roman" w:hAnsi="Times New Roman"/>
          <w:sz w:val="24"/>
          <w:szCs w:val="24"/>
          <w:lang w:val="ru-RU"/>
        </w:rPr>
        <w:t xml:space="preserve"> Россия на настоящий момент является единственной страной, которая еще не приступила к практическим действиям по развитию национальных </w:t>
      </w:r>
      <w:proofErr w:type="gramStart"/>
      <w:r w:rsidRPr="004D4384">
        <w:rPr>
          <w:rFonts w:ascii="Times New Roman" w:hAnsi="Times New Roman"/>
          <w:sz w:val="24"/>
          <w:szCs w:val="24"/>
          <w:lang w:val="ru-RU"/>
        </w:rPr>
        <w:t>экономических механизмов</w:t>
      </w:r>
      <w:proofErr w:type="gramEnd"/>
      <w:r w:rsidRPr="004D4384">
        <w:rPr>
          <w:rFonts w:ascii="Times New Roman" w:hAnsi="Times New Roman"/>
          <w:sz w:val="24"/>
          <w:szCs w:val="24"/>
          <w:lang w:val="ru-RU"/>
        </w:rPr>
        <w:t xml:space="preserve"> «парникового» регулирования. </w:t>
      </w:r>
    </w:p>
    <w:p w:rsidR="007D6401" w:rsidRDefault="007D6401" w:rsidP="007D6401">
      <w:pPr>
        <w:spacing w:after="120" w:line="240" w:lineRule="auto"/>
        <w:ind w:firstLine="567"/>
        <w:jc w:val="both"/>
        <w:rPr>
          <w:rFonts w:ascii="Times New Roman" w:hAnsi="Times New Roman"/>
          <w:sz w:val="24"/>
          <w:szCs w:val="24"/>
          <w:lang w:val="ru-RU"/>
        </w:rPr>
      </w:pPr>
      <w:r w:rsidRPr="002C4E4C">
        <w:rPr>
          <w:rFonts w:ascii="Times New Roman" w:hAnsi="Times New Roman"/>
          <w:sz w:val="24"/>
          <w:szCs w:val="24"/>
          <w:lang w:val="ru-RU"/>
        </w:rPr>
        <w:t xml:space="preserve">8. </w:t>
      </w:r>
      <w:r>
        <w:rPr>
          <w:rFonts w:ascii="Times New Roman" w:hAnsi="Times New Roman"/>
          <w:sz w:val="24"/>
          <w:szCs w:val="24"/>
          <w:lang w:val="ru-RU"/>
        </w:rPr>
        <w:t>Пограничные меры регулирования контроля углеродоемкости экспорта/импорта представляются совершенно неизбежными. Как сегодня ограничен импорт товаров, произведенных с применением детского или рабского труда, так будет ограничен и импорт товаров с применением отсталых, углеродоемких технологий. Форма таких ограничений может быть весьма разнообразной. Если импортные пошлины на углеродное содержание продукта в ряде случаев уже введены, то пошлин на углеродное содержание производства товаров еще нет. Причем возмещение цены углеродного содержания производства может гипотетически осуществляться и в форме обязательства закупать соответствующее количество квот на рынке импортера.</w:t>
      </w:r>
    </w:p>
    <w:p w:rsidR="007D6401" w:rsidRPr="004D4384" w:rsidRDefault="007D6401" w:rsidP="007D6401">
      <w:pPr>
        <w:spacing w:after="120" w:line="240" w:lineRule="auto"/>
        <w:ind w:firstLine="567"/>
        <w:jc w:val="both"/>
        <w:rPr>
          <w:rFonts w:ascii="Times New Roman" w:hAnsi="Times New Roman"/>
          <w:sz w:val="24"/>
          <w:szCs w:val="24"/>
          <w:lang w:val="ru-RU"/>
        </w:rPr>
      </w:pPr>
      <w:r w:rsidRPr="002C4E4C">
        <w:rPr>
          <w:rFonts w:ascii="Times New Roman" w:hAnsi="Times New Roman"/>
          <w:sz w:val="24"/>
          <w:szCs w:val="24"/>
          <w:lang w:val="ru-RU"/>
        </w:rPr>
        <w:t xml:space="preserve">В качестве </w:t>
      </w:r>
      <w:proofErr w:type="gramStart"/>
      <w:r w:rsidRPr="002C4E4C">
        <w:rPr>
          <w:rFonts w:ascii="Times New Roman" w:hAnsi="Times New Roman"/>
          <w:sz w:val="24"/>
          <w:szCs w:val="24"/>
          <w:lang w:val="ru-RU"/>
        </w:rPr>
        <w:t>стратегической инициативы, предупреждающей риск такого развития событий может</w:t>
      </w:r>
      <w:proofErr w:type="gramEnd"/>
      <w:r w:rsidRPr="002C4E4C">
        <w:rPr>
          <w:rFonts w:ascii="Times New Roman" w:hAnsi="Times New Roman"/>
          <w:sz w:val="24"/>
          <w:szCs w:val="24"/>
          <w:lang w:val="ru-RU"/>
        </w:rPr>
        <w:t xml:space="preserve"> выступить предложение создать механизм «</w:t>
      </w:r>
      <w:proofErr w:type="spellStart"/>
      <w:r w:rsidRPr="002C4E4C">
        <w:rPr>
          <w:rFonts w:ascii="Times New Roman" w:hAnsi="Times New Roman"/>
          <w:sz w:val="24"/>
          <w:szCs w:val="24"/>
          <w:lang w:val="ru-RU"/>
        </w:rPr>
        <w:t>углеродонейтрального</w:t>
      </w:r>
      <w:proofErr w:type="spellEnd"/>
      <w:r w:rsidRPr="002C4E4C">
        <w:rPr>
          <w:rFonts w:ascii="Times New Roman" w:hAnsi="Times New Roman"/>
          <w:sz w:val="24"/>
          <w:szCs w:val="24"/>
          <w:lang w:val="ru-RU"/>
        </w:rPr>
        <w:t>» или даже «</w:t>
      </w:r>
      <w:proofErr w:type="spellStart"/>
      <w:r w:rsidRPr="002C4E4C">
        <w:rPr>
          <w:rFonts w:ascii="Times New Roman" w:hAnsi="Times New Roman"/>
          <w:sz w:val="24"/>
          <w:szCs w:val="24"/>
          <w:lang w:val="ru-RU"/>
        </w:rPr>
        <w:t>углеродоотрицательного</w:t>
      </w:r>
      <w:proofErr w:type="spellEnd"/>
      <w:r w:rsidRPr="002C4E4C">
        <w:rPr>
          <w:rFonts w:ascii="Times New Roman" w:hAnsi="Times New Roman"/>
          <w:sz w:val="24"/>
          <w:szCs w:val="24"/>
          <w:lang w:val="ru-RU"/>
        </w:rPr>
        <w:t>» экспорта, то есть поставка на экспорт такого товара, производство которого компенсируется кредитами с избытком.</w:t>
      </w:r>
      <w:r w:rsidRPr="004D4384">
        <w:rPr>
          <w:rFonts w:ascii="Times New Roman" w:hAnsi="Times New Roman"/>
          <w:sz w:val="24"/>
          <w:szCs w:val="24"/>
          <w:lang w:val="ru-RU"/>
        </w:rPr>
        <w:t xml:space="preserve"> </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Г</w:t>
      </w:r>
      <w:r w:rsidRPr="004D4384">
        <w:rPr>
          <w:rFonts w:ascii="Times New Roman" w:hAnsi="Times New Roman"/>
          <w:sz w:val="24"/>
          <w:szCs w:val="24"/>
          <w:lang w:val="ru-RU"/>
        </w:rPr>
        <w:t>лобальные тенденции к развитию «парникового» регулирования таят не только риски, но и огромные возможности для энергоемких отраслей промышленности. Российский потенциал повышения энергоэффективности, а, следовательно, и снижения «углеродоемкости» промышленного производства позволяет в случае развития соответствующих механизмов занять доминирующее положение на глобальном углеродном рынке</w:t>
      </w:r>
      <w:r w:rsidRPr="00E34663">
        <w:rPr>
          <w:rFonts w:ascii="Times New Roman" w:hAnsi="Times New Roman"/>
          <w:sz w:val="24"/>
          <w:szCs w:val="24"/>
          <w:lang w:val="ru-RU"/>
        </w:rPr>
        <w:t>.</w:t>
      </w:r>
      <w:r>
        <w:rPr>
          <w:rFonts w:ascii="Times New Roman" w:hAnsi="Times New Roman"/>
          <w:sz w:val="24"/>
          <w:szCs w:val="24"/>
          <w:lang w:val="ru-RU"/>
        </w:rPr>
        <w:t xml:space="preserve"> </w:t>
      </w:r>
      <w:r w:rsidRPr="00E34663">
        <w:rPr>
          <w:rFonts w:ascii="Times New Roman" w:hAnsi="Times New Roman"/>
          <w:sz w:val="24"/>
          <w:szCs w:val="24"/>
          <w:lang w:val="ru-RU"/>
        </w:rPr>
        <w:t>В отличие</w:t>
      </w:r>
      <w:r>
        <w:rPr>
          <w:rFonts w:ascii="Times New Roman" w:hAnsi="Times New Roman"/>
          <w:sz w:val="24"/>
          <w:szCs w:val="24"/>
          <w:lang w:val="ru-RU"/>
        </w:rPr>
        <w:t xml:space="preserve"> от периода ратификации и вступления в силу  Киотского протокола, уникальность положения и потенциала России заключается в сочетании:</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Pr>
          <w:rFonts w:ascii="Times New Roman" w:hAnsi="Times New Roman"/>
          <w:sz w:val="24"/>
          <w:szCs w:val="24"/>
          <w:lang w:val="ru-RU"/>
        </w:rPr>
        <w:tab/>
        <w:t>мощного потенциала энергосбережения, повышения энергоэффективности, снижения углеродоемкости экономики;</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t>преимуществ и недостатков крупнейшего производителя, поставщика ископаемого, углеводородного топлива и потребителя энергоресурсов;</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w:t>
      </w:r>
      <w:r>
        <w:rPr>
          <w:rFonts w:ascii="Times New Roman" w:hAnsi="Times New Roman"/>
          <w:sz w:val="24"/>
          <w:szCs w:val="24"/>
          <w:lang w:val="ru-RU"/>
        </w:rPr>
        <w:tab/>
      </w:r>
      <w:r>
        <w:rPr>
          <w:rFonts w:ascii="Times New Roman" w:hAnsi="Times New Roman"/>
          <w:sz w:val="24"/>
          <w:szCs w:val="24"/>
          <w:lang w:val="ru-RU"/>
        </w:rPr>
        <w:tab/>
        <w:t>обладателя крупнейших ресурсов абсорбции парниковых газов (лесов).</w:t>
      </w:r>
    </w:p>
    <w:p w:rsidR="007D6401" w:rsidRDefault="007D6401" w:rsidP="007D6401">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Таким сочетанием не обладает ни один другой потенциальный участник глобального углеродного рынка. </w:t>
      </w:r>
    </w:p>
    <w:p w:rsidR="007D6401" w:rsidRDefault="007D6401" w:rsidP="007D6401">
      <w:pPr>
        <w:spacing w:after="120" w:line="240" w:lineRule="auto"/>
        <w:ind w:firstLine="567"/>
        <w:jc w:val="both"/>
        <w:rPr>
          <w:rFonts w:ascii="Times New Roman" w:eastAsia="Times New Roman" w:hAnsi="Times New Roman"/>
          <w:sz w:val="24"/>
          <w:szCs w:val="24"/>
          <w:lang w:val="ru-RU"/>
        </w:rPr>
      </w:pPr>
      <w:r>
        <w:rPr>
          <w:rFonts w:ascii="Times New Roman" w:hAnsi="Times New Roman"/>
          <w:sz w:val="24"/>
          <w:szCs w:val="24"/>
          <w:lang w:val="ru-RU"/>
        </w:rPr>
        <w:t xml:space="preserve">Другое дело, что использование этого потенциала требует определенной нормативной правовой базы, компетенции в создании и управлении специфическими «парниковыми» активами, проектами, рисками. </w:t>
      </w:r>
      <w:r>
        <w:rPr>
          <w:rFonts w:ascii="Times New Roman" w:eastAsia="Times New Roman" w:hAnsi="Times New Roman"/>
          <w:sz w:val="24"/>
          <w:szCs w:val="24"/>
          <w:lang w:val="ru-RU"/>
        </w:rPr>
        <w:t xml:space="preserve">Необходимо решение </w:t>
      </w:r>
      <w:r w:rsidRPr="00CE7923">
        <w:rPr>
          <w:rFonts w:ascii="Times New Roman" w:eastAsia="Times New Roman" w:hAnsi="Times New Roman"/>
          <w:sz w:val="24"/>
          <w:szCs w:val="24"/>
          <w:lang w:val="ru-RU"/>
        </w:rPr>
        <w:t xml:space="preserve">задач, </w:t>
      </w:r>
      <w:r>
        <w:rPr>
          <w:rFonts w:ascii="Times New Roman" w:eastAsia="Times New Roman" w:hAnsi="Times New Roman"/>
          <w:sz w:val="24"/>
          <w:szCs w:val="24"/>
          <w:lang w:val="ru-RU"/>
        </w:rPr>
        <w:t>стоящих перед</w:t>
      </w:r>
      <w:r w:rsidRPr="00CE7923">
        <w:rPr>
          <w:rFonts w:ascii="Times New Roman" w:eastAsia="Times New Roman" w:hAnsi="Times New Roman"/>
          <w:sz w:val="24"/>
          <w:szCs w:val="24"/>
          <w:lang w:val="ru-RU"/>
        </w:rPr>
        <w:t xml:space="preserve"> инвестиционными банками при управлении своими «углеродными» портфелями, и задач, </w:t>
      </w:r>
      <w:r>
        <w:rPr>
          <w:rFonts w:ascii="Times New Roman" w:eastAsia="Times New Roman" w:hAnsi="Times New Roman"/>
          <w:sz w:val="24"/>
          <w:szCs w:val="24"/>
          <w:lang w:val="ru-RU"/>
        </w:rPr>
        <w:t>стоящих перед</w:t>
      </w:r>
      <w:r w:rsidRPr="00CE7923">
        <w:rPr>
          <w:rFonts w:ascii="Times New Roman" w:eastAsia="Times New Roman" w:hAnsi="Times New Roman"/>
          <w:sz w:val="24"/>
          <w:szCs w:val="24"/>
          <w:lang w:val="ru-RU"/>
        </w:rPr>
        <w:t xml:space="preserve"> крупными промышленными корпорациями, которые комбинируют деятельность по модернизации производства с торговлей на «углеродном» рынке.</w:t>
      </w:r>
      <w:r>
        <w:rPr>
          <w:rFonts w:ascii="Times New Roman" w:eastAsia="Times New Roman" w:hAnsi="Times New Roman"/>
          <w:sz w:val="24"/>
          <w:szCs w:val="24"/>
          <w:lang w:val="ru-RU"/>
        </w:rPr>
        <w:t xml:space="preserve"> </w:t>
      </w:r>
    </w:p>
    <w:p w:rsidR="007D6401" w:rsidRPr="00E34663" w:rsidRDefault="007D6401" w:rsidP="007D6401">
      <w:pPr>
        <w:spacing w:after="120" w:line="240" w:lineRule="auto"/>
        <w:ind w:firstLine="567"/>
        <w:jc w:val="both"/>
        <w:rPr>
          <w:rFonts w:ascii="Times New Roman" w:hAnsi="Times New Roman"/>
          <w:sz w:val="24"/>
          <w:szCs w:val="24"/>
          <w:lang w:val="ru-RU"/>
        </w:rPr>
      </w:pPr>
      <w:r>
        <w:rPr>
          <w:rFonts w:ascii="Times New Roman" w:eastAsia="Times New Roman" w:hAnsi="Times New Roman"/>
          <w:sz w:val="24"/>
          <w:szCs w:val="24"/>
          <w:lang w:val="ru-RU"/>
        </w:rPr>
        <w:t>Однако, прежде всего необходимо признание  того факта, что эти потенциальные активы существуют, они велики и заслуживают внимания.</w:t>
      </w:r>
    </w:p>
    <w:p w:rsidR="007D6401" w:rsidRPr="004D4384" w:rsidRDefault="007D6401" w:rsidP="007D6401">
      <w:p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Наиболее вероятными представляются следующие сценарии развития событий:</w:t>
      </w:r>
    </w:p>
    <w:p w:rsidR="007D6401" w:rsidRPr="004D4384" w:rsidRDefault="007D6401" w:rsidP="007D6401">
      <w:pPr>
        <w:pStyle w:val="ListParagraph1"/>
        <w:numPr>
          <w:ilvl w:val="0"/>
          <w:numId w:val="7"/>
        </w:num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случае принятия нового международного соглашения и принятия Россией, как и сейчас, «мягких» обязательств, которые фактически не оказывают никакого нажима на экономику, сохранения неопределенности в статусе вхождения в ВТО сохраняется статус-кво. Российский экспорт продолжает экстенсивно развиваться с акцентом на сырье, </w:t>
      </w:r>
      <w:proofErr w:type="spellStart"/>
      <w:r w:rsidRPr="004D4384">
        <w:rPr>
          <w:rFonts w:ascii="Times New Roman" w:hAnsi="Times New Roman"/>
          <w:sz w:val="24"/>
          <w:szCs w:val="24"/>
          <w:lang w:val="ru-RU"/>
        </w:rPr>
        <w:t>высокоуглеродоемкую</w:t>
      </w:r>
      <w:proofErr w:type="spellEnd"/>
      <w:r w:rsidRPr="004D4384">
        <w:rPr>
          <w:rFonts w:ascii="Times New Roman" w:hAnsi="Times New Roman"/>
          <w:sz w:val="24"/>
          <w:szCs w:val="24"/>
          <w:lang w:val="ru-RU"/>
        </w:rPr>
        <w:t xml:space="preserve"> продукцию, структура импорта из стран, принявших ограничения, продолжает меняться в пользу низкоуглеродной высокотехнологичной продукции.</w:t>
      </w:r>
    </w:p>
    <w:p w:rsidR="007D6401" w:rsidRPr="004D4384" w:rsidRDefault="007D6401" w:rsidP="007D6401">
      <w:pPr>
        <w:pStyle w:val="ListParagraph1"/>
        <w:numPr>
          <w:ilvl w:val="0"/>
          <w:numId w:val="7"/>
        </w:num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случае отсутствия нового соглашения и каких-либо новых международных обязательств России, вступления России в ВТО в отношении, российского экспорта применяются  протекционистские импортные пошлины, что ведет к резкому падению конкурентоспособности российского экспорта, ухудшению торгового баланса </w:t>
      </w:r>
      <w:proofErr w:type="gramStart"/>
      <w:r w:rsidRPr="004D4384">
        <w:rPr>
          <w:rFonts w:ascii="Times New Roman" w:hAnsi="Times New Roman"/>
          <w:sz w:val="24"/>
          <w:szCs w:val="24"/>
          <w:lang w:val="ru-RU"/>
        </w:rPr>
        <w:t>при том</w:t>
      </w:r>
      <w:proofErr w:type="gramEnd"/>
      <w:r w:rsidRPr="004D4384">
        <w:rPr>
          <w:rFonts w:ascii="Times New Roman" w:hAnsi="Times New Roman"/>
          <w:sz w:val="24"/>
          <w:szCs w:val="24"/>
          <w:lang w:val="ru-RU"/>
        </w:rPr>
        <w:t xml:space="preserve">, что  структура импорта, по-прежнему меняется в сторону роста доли высокотехнологичной, </w:t>
      </w:r>
      <w:proofErr w:type="spellStart"/>
      <w:r w:rsidRPr="004D4384">
        <w:rPr>
          <w:rFonts w:ascii="Times New Roman" w:hAnsi="Times New Roman"/>
          <w:sz w:val="24"/>
          <w:szCs w:val="24"/>
          <w:lang w:val="ru-RU"/>
        </w:rPr>
        <w:t>низкоуглеродоемкой</w:t>
      </w:r>
      <w:proofErr w:type="spellEnd"/>
      <w:r w:rsidRPr="004D4384">
        <w:rPr>
          <w:rFonts w:ascii="Times New Roman" w:hAnsi="Times New Roman"/>
          <w:sz w:val="24"/>
          <w:szCs w:val="24"/>
          <w:lang w:val="ru-RU"/>
        </w:rPr>
        <w:t xml:space="preserve"> продукции. </w:t>
      </w:r>
    </w:p>
    <w:p w:rsidR="007D6401" w:rsidRDefault="007D6401" w:rsidP="007D6401">
      <w:pPr>
        <w:pStyle w:val="ListParagraph1"/>
        <w:numPr>
          <w:ilvl w:val="0"/>
          <w:numId w:val="7"/>
        </w:numPr>
        <w:spacing w:after="120" w:line="240" w:lineRule="auto"/>
        <w:ind w:firstLine="567"/>
        <w:jc w:val="both"/>
        <w:rPr>
          <w:rFonts w:ascii="Times New Roman" w:hAnsi="Times New Roman"/>
          <w:sz w:val="24"/>
          <w:szCs w:val="24"/>
          <w:lang w:val="ru-RU"/>
        </w:rPr>
      </w:pPr>
      <w:r w:rsidRPr="004D4384">
        <w:rPr>
          <w:rFonts w:ascii="Times New Roman" w:hAnsi="Times New Roman"/>
          <w:sz w:val="24"/>
          <w:szCs w:val="24"/>
          <w:lang w:val="ru-RU"/>
        </w:rPr>
        <w:t xml:space="preserve">В случае введения в России регулирования выбросов парниковых газов не только описанные риски сводятся «к нулю», но и возникают стимулы для модернизации,  развития </w:t>
      </w:r>
      <w:proofErr w:type="spellStart"/>
      <w:r w:rsidRPr="004D4384">
        <w:rPr>
          <w:rFonts w:ascii="Times New Roman" w:hAnsi="Times New Roman"/>
          <w:sz w:val="24"/>
          <w:szCs w:val="24"/>
          <w:lang w:val="ru-RU"/>
        </w:rPr>
        <w:t>энергоэффективных</w:t>
      </w:r>
      <w:proofErr w:type="spellEnd"/>
      <w:r w:rsidRPr="004D4384">
        <w:rPr>
          <w:rFonts w:ascii="Times New Roman" w:hAnsi="Times New Roman"/>
          <w:sz w:val="24"/>
          <w:szCs w:val="24"/>
          <w:lang w:val="ru-RU"/>
        </w:rPr>
        <w:t xml:space="preserve"> инновационных технологий, но и инструменты позитивного воздействия на структуру импорта – экспорта, на развитие экономики в целом.</w:t>
      </w:r>
    </w:p>
    <w:p w:rsidR="00D87BB9" w:rsidRDefault="008F24DC" w:rsidP="000A5002">
      <w:pPr>
        <w:pStyle w:val="2"/>
        <w:rPr>
          <w:rFonts w:ascii="Times New Roman" w:hAnsi="Times New Roman"/>
          <w:color w:val="auto"/>
          <w:lang w:val="ru-RU"/>
        </w:rPr>
      </w:pPr>
      <w:r>
        <w:rPr>
          <w:rFonts w:ascii="Times New Roman" w:hAnsi="Times New Roman"/>
          <w:sz w:val="24"/>
          <w:szCs w:val="24"/>
          <w:lang w:val="ru-RU"/>
        </w:rPr>
        <w:br w:type="page"/>
      </w:r>
      <w:r w:rsidR="00D87BB9" w:rsidRPr="000A5002">
        <w:rPr>
          <w:rFonts w:ascii="Times New Roman" w:hAnsi="Times New Roman"/>
          <w:color w:val="auto"/>
          <w:lang w:val="ru-RU"/>
        </w:rPr>
        <w:lastRenderedPageBreak/>
        <w:t>Возможности</w:t>
      </w:r>
      <w:r w:rsidR="00A6277A" w:rsidRPr="000A5002">
        <w:rPr>
          <w:rFonts w:ascii="Times New Roman" w:hAnsi="Times New Roman"/>
          <w:color w:val="auto"/>
          <w:lang w:val="ru-RU"/>
        </w:rPr>
        <w:t xml:space="preserve"> применения </w:t>
      </w:r>
      <w:r w:rsidR="00257983">
        <w:rPr>
          <w:rFonts w:ascii="Times New Roman" w:hAnsi="Times New Roman"/>
          <w:color w:val="auto"/>
          <w:lang w:val="ru-RU"/>
        </w:rPr>
        <w:t>рыночного</w:t>
      </w:r>
      <w:r w:rsidR="00D87BB9" w:rsidRPr="000A5002">
        <w:rPr>
          <w:rFonts w:ascii="Times New Roman" w:hAnsi="Times New Roman"/>
          <w:color w:val="auto"/>
          <w:lang w:val="ru-RU"/>
        </w:rPr>
        <w:t xml:space="preserve"> механизм</w:t>
      </w:r>
      <w:r w:rsidR="00257983">
        <w:rPr>
          <w:rFonts w:ascii="Times New Roman" w:hAnsi="Times New Roman"/>
          <w:color w:val="auto"/>
          <w:lang w:val="ru-RU"/>
        </w:rPr>
        <w:t>а</w:t>
      </w:r>
      <w:r w:rsidR="00D87BB9" w:rsidRPr="000A5002">
        <w:rPr>
          <w:rFonts w:ascii="Times New Roman" w:hAnsi="Times New Roman"/>
          <w:color w:val="auto"/>
          <w:lang w:val="ru-RU"/>
        </w:rPr>
        <w:t xml:space="preserve"> регулирования парниковых выбросов в России</w:t>
      </w:r>
    </w:p>
    <w:p w:rsidR="00641FAD" w:rsidRPr="00641FAD" w:rsidRDefault="00641FAD" w:rsidP="00641FAD">
      <w:pPr>
        <w:rPr>
          <w:lang w:val="ru-RU"/>
        </w:rPr>
      </w:pPr>
    </w:p>
    <w:p w:rsidR="00F86213" w:rsidRPr="00641FAD" w:rsidRDefault="00F86213" w:rsidP="00641FAD">
      <w:pPr>
        <w:spacing w:after="120" w:line="240" w:lineRule="auto"/>
        <w:rPr>
          <w:rFonts w:ascii="Times New Roman" w:hAnsi="Times New Roman"/>
          <w:b/>
          <w:i/>
          <w:sz w:val="24"/>
          <w:szCs w:val="24"/>
          <w:lang w:val="ru-RU"/>
        </w:rPr>
      </w:pPr>
      <w:r w:rsidRPr="00641FAD">
        <w:rPr>
          <w:rFonts w:ascii="Times New Roman" w:hAnsi="Times New Roman"/>
          <w:b/>
          <w:i/>
          <w:sz w:val="24"/>
          <w:szCs w:val="24"/>
          <w:lang w:val="ru-RU"/>
        </w:rPr>
        <w:t xml:space="preserve"> Исследования</w:t>
      </w:r>
    </w:p>
    <w:p w:rsidR="00A6277A" w:rsidRDefault="00BB653E" w:rsidP="00BB653E">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w:t>
      </w:r>
      <w:r w:rsidR="00A6277A">
        <w:rPr>
          <w:rFonts w:ascii="Times New Roman" w:hAnsi="Times New Roman"/>
          <w:sz w:val="24"/>
          <w:szCs w:val="24"/>
          <w:lang w:val="ru-RU"/>
        </w:rPr>
        <w:t>олноценн</w:t>
      </w:r>
      <w:r>
        <w:rPr>
          <w:rFonts w:ascii="Times New Roman" w:hAnsi="Times New Roman"/>
          <w:sz w:val="24"/>
          <w:szCs w:val="24"/>
          <w:lang w:val="ru-RU"/>
        </w:rPr>
        <w:t>ый</w:t>
      </w:r>
      <w:r w:rsidR="00A6277A">
        <w:rPr>
          <w:rFonts w:ascii="Times New Roman" w:hAnsi="Times New Roman"/>
          <w:sz w:val="24"/>
          <w:szCs w:val="24"/>
          <w:lang w:val="ru-RU"/>
        </w:rPr>
        <w:t xml:space="preserve"> анализ </w:t>
      </w:r>
      <w:proofErr w:type="gramStart"/>
      <w:r w:rsidR="00A6277A">
        <w:rPr>
          <w:rFonts w:ascii="Times New Roman" w:hAnsi="Times New Roman"/>
          <w:sz w:val="24"/>
          <w:szCs w:val="24"/>
          <w:lang w:val="ru-RU"/>
        </w:rPr>
        <w:t>возможностей применения экономических инструментов регулирования парникового загрязнения</w:t>
      </w:r>
      <w:proofErr w:type="gramEnd"/>
      <w:r>
        <w:rPr>
          <w:rFonts w:ascii="Times New Roman" w:hAnsi="Times New Roman"/>
          <w:sz w:val="24"/>
          <w:szCs w:val="24"/>
          <w:lang w:val="ru-RU"/>
        </w:rPr>
        <w:t xml:space="preserve"> в России должен основываться на результатах </w:t>
      </w:r>
      <w:r w:rsidR="0088599A">
        <w:rPr>
          <w:rFonts w:ascii="Times New Roman" w:hAnsi="Times New Roman"/>
          <w:sz w:val="24"/>
          <w:szCs w:val="24"/>
          <w:lang w:val="ru-RU"/>
        </w:rPr>
        <w:t xml:space="preserve">длительного </w:t>
      </w:r>
      <w:r w:rsidR="007B6E29">
        <w:rPr>
          <w:rFonts w:ascii="Times New Roman" w:hAnsi="Times New Roman"/>
          <w:sz w:val="24"/>
          <w:szCs w:val="24"/>
          <w:lang w:val="ru-RU"/>
        </w:rPr>
        <w:t xml:space="preserve">развития экономической мысли, </w:t>
      </w:r>
      <w:r>
        <w:rPr>
          <w:rFonts w:ascii="Times New Roman" w:hAnsi="Times New Roman"/>
          <w:sz w:val="24"/>
          <w:szCs w:val="24"/>
          <w:lang w:val="ru-RU"/>
        </w:rPr>
        <w:t xml:space="preserve">огромного массива исследований, проводившихся </w:t>
      </w:r>
      <w:r w:rsidR="00A233DF">
        <w:rPr>
          <w:rFonts w:ascii="Times New Roman" w:hAnsi="Times New Roman"/>
          <w:sz w:val="24"/>
          <w:szCs w:val="24"/>
          <w:lang w:val="ru-RU"/>
        </w:rPr>
        <w:t xml:space="preserve">в </w:t>
      </w:r>
      <w:r>
        <w:rPr>
          <w:rFonts w:ascii="Times New Roman" w:hAnsi="Times New Roman"/>
          <w:sz w:val="24"/>
          <w:szCs w:val="24"/>
          <w:lang w:val="ru-RU"/>
        </w:rPr>
        <w:t xml:space="preserve">течение </w:t>
      </w:r>
      <w:r w:rsidR="00A233DF">
        <w:rPr>
          <w:rFonts w:ascii="Times New Roman" w:hAnsi="Times New Roman"/>
          <w:sz w:val="24"/>
          <w:szCs w:val="24"/>
          <w:lang w:val="ru-RU"/>
        </w:rPr>
        <w:t xml:space="preserve">многих </w:t>
      </w:r>
      <w:r>
        <w:rPr>
          <w:rFonts w:ascii="Times New Roman" w:hAnsi="Times New Roman"/>
          <w:sz w:val="24"/>
          <w:szCs w:val="24"/>
          <w:lang w:val="ru-RU"/>
        </w:rPr>
        <w:t>десятилетий, и более чем 30-летнем международном опыте.</w:t>
      </w:r>
      <w:r w:rsidR="00E178A3">
        <w:rPr>
          <w:rFonts w:ascii="Times New Roman" w:hAnsi="Times New Roman"/>
          <w:sz w:val="24"/>
          <w:szCs w:val="24"/>
          <w:lang w:val="ru-RU"/>
        </w:rPr>
        <w:t xml:space="preserve"> Результаты этих исследований имеют универсальный характер, поэтому для подтверждения преимуществ или недостатков той или иной модели</w:t>
      </w:r>
      <w:r w:rsidR="001D7801">
        <w:rPr>
          <w:rFonts w:ascii="Times New Roman" w:hAnsi="Times New Roman"/>
          <w:sz w:val="24"/>
          <w:szCs w:val="24"/>
          <w:lang w:val="ru-RU"/>
        </w:rPr>
        <w:t xml:space="preserve"> нет необходимости «изобретать велосипед». К настоящему моменту все основные теоретические проблемы различных механизмов регулирования атмосферных выбросов описаны достаточно полно, подробно и снабжены соответствующим математическим аппаратом.</w:t>
      </w:r>
    </w:p>
    <w:p w:rsidR="00B87182" w:rsidRDefault="00B87182" w:rsidP="00BB653E">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Не претендуя на какую бы то ни было полноту и объективность, </w:t>
      </w:r>
      <w:r w:rsidR="00764639">
        <w:rPr>
          <w:rFonts w:ascii="Times New Roman" w:hAnsi="Times New Roman"/>
          <w:sz w:val="24"/>
          <w:szCs w:val="24"/>
          <w:lang w:val="ru-RU"/>
        </w:rPr>
        <w:t>сделаем попытку все же привести некоторый обзор</w:t>
      </w:r>
      <w:r w:rsidR="0088599A">
        <w:rPr>
          <w:rFonts w:ascii="Times New Roman" w:hAnsi="Times New Roman"/>
          <w:sz w:val="24"/>
          <w:szCs w:val="24"/>
          <w:lang w:val="ru-RU"/>
        </w:rPr>
        <w:t xml:space="preserve"> развития экономической мысли и исследований на этом направлении</w:t>
      </w:r>
      <w:r w:rsidR="00764639">
        <w:rPr>
          <w:rFonts w:ascii="Times New Roman" w:hAnsi="Times New Roman"/>
          <w:sz w:val="24"/>
          <w:szCs w:val="24"/>
          <w:lang w:val="ru-RU"/>
        </w:rPr>
        <w:t>.</w:t>
      </w:r>
    </w:p>
    <w:p w:rsidR="00C85CB5" w:rsidRDefault="0088599A" w:rsidP="00BB653E">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конце 50-х годов прошлого столетия, н</w:t>
      </w:r>
      <w:r w:rsidR="00A6277A">
        <w:rPr>
          <w:rFonts w:ascii="Times New Roman" w:hAnsi="Times New Roman"/>
          <w:sz w:val="24"/>
          <w:szCs w:val="24"/>
          <w:lang w:val="ru-RU"/>
        </w:rPr>
        <w:t xml:space="preserve">а раннем этапе изучения </w:t>
      </w:r>
      <w:r w:rsidR="00A25571">
        <w:rPr>
          <w:rFonts w:ascii="Times New Roman" w:hAnsi="Times New Roman"/>
          <w:sz w:val="24"/>
          <w:szCs w:val="24"/>
          <w:lang w:val="ru-RU"/>
        </w:rPr>
        <w:t>возможных инструментов экологической политики,</w:t>
      </w:r>
      <w:r>
        <w:rPr>
          <w:rFonts w:ascii="Times New Roman" w:hAnsi="Times New Roman"/>
          <w:sz w:val="24"/>
          <w:szCs w:val="24"/>
          <w:lang w:val="ru-RU"/>
        </w:rPr>
        <w:t xml:space="preserve"> механизмов контроля загрязнения окружающей среды</w:t>
      </w:r>
      <w:r w:rsidR="00A25571">
        <w:rPr>
          <w:rFonts w:ascii="Times New Roman" w:hAnsi="Times New Roman"/>
          <w:sz w:val="24"/>
          <w:szCs w:val="24"/>
          <w:lang w:val="ru-RU"/>
        </w:rPr>
        <w:t xml:space="preserve"> на Западе вполне отчетливо выделялись «экономический» и «нормативный» подходы. </w:t>
      </w:r>
    </w:p>
    <w:p w:rsidR="00C85CB5" w:rsidRDefault="00103EF6" w:rsidP="00BB653E">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«Экономический» базировался на </w:t>
      </w:r>
      <w:r w:rsidR="009811AC">
        <w:rPr>
          <w:rFonts w:ascii="Times New Roman" w:hAnsi="Times New Roman"/>
          <w:sz w:val="24"/>
          <w:szCs w:val="24"/>
          <w:lang w:val="ru-RU"/>
        </w:rPr>
        <w:t xml:space="preserve">сформулированных в 1920 г. </w:t>
      </w:r>
      <w:r>
        <w:rPr>
          <w:rFonts w:ascii="Times New Roman" w:hAnsi="Times New Roman"/>
          <w:sz w:val="24"/>
          <w:szCs w:val="24"/>
          <w:lang w:val="ru-RU"/>
        </w:rPr>
        <w:t xml:space="preserve">взглядах Артура С. </w:t>
      </w:r>
      <w:proofErr w:type="spellStart"/>
      <w:r>
        <w:rPr>
          <w:rFonts w:ascii="Times New Roman" w:hAnsi="Times New Roman"/>
          <w:sz w:val="24"/>
          <w:szCs w:val="24"/>
          <w:lang w:val="ru-RU"/>
        </w:rPr>
        <w:t>Пигу</w:t>
      </w:r>
      <w:proofErr w:type="spellEnd"/>
      <w:r>
        <w:rPr>
          <w:rFonts w:ascii="Times New Roman" w:hAnsi="Times New Roman"/>
          <w:sz w:val="24"/>
          <w:szCs w:val="24"/>
          <w:lang w:val="ru-RU"/>
        </w:rPr>
        <w:t xml:space="preserve"> о том, что реакция на такой внешний фактор как загрязнение окружающей среды должна включать введение налога на единицу продукции, производство которо</w:t>
      </w:r>
      <w:r w:rsidR="00B85FA0">
        <w:rPr>
          <w:rFonts w:ascii="Times New Roman" w:hAnsi="Times New Roman"/>
          <w:sz w:val="24"/>
          <w:szCs w:val="24"/>
          <w:lang w:val="ru-RU"/>
        </w:rPr>
        <w:t>й</w:t>
      </w:r>
      <w:r>
        <w:rPr>
          <w:rFonts w:ascii="Times New Roman" w:hAnsi="Times New Roman"/>
          <w:sz w:val="24"/>
          <w:szCs w:val="24"/>
          <w:lang w:val="ru-RU"/>
        </w:rPr>
        <w:t xml:space="preserve"> приводит к загрязнению</w:t>
      </w:r>
      <w:r w:rsidR="00C85CB5">
        <w:rPr>
          <w:rFonts w:ascii="Times New Roman" w:hAnsi="Times New Roman"/>
          <w:sz w:val="24"/>
          <w:szCs w:val="24"/>
          <w:lang w:val="ru-RU"/>
        </w:rPr>
        <w:t>, то есть рациональным является назначение цены за загрязнение.</w:t>
      </w:r>
      <w:r w:rsidR="000A5D9C">
        <w:rPr>
          <w:rStyle w:val="ad"/>
          <w:rFonts w:ascii="Times New Roman" w:hAnsi="Times New Roman"/>
          <w:sz w:val="24"/>
          <w:szCs w:val="24"/>
          <w:lang w:val="ru-RU"/>
        </w:rPr>
        <w:footnoteReference w:id="32"/>
      </w:r>
    </w:p>
    <w:p w:rsidR="00C85CB5" w:rsidRDefault="00C85CB5" w:rsidP="00BB653E">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«Нормативный» подход, со своей стороны, предполагал введение комплекса нормативных актов, регулирующих местоположение и предельно допустимые уровни загрязнения.</w:t>
      </w:r>
    </w:p>
    <w:p w:rsidR="0001578F" w:rsidRDefault="00103EF6"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0001578F">
        <w:rPr>
          <w:rFonts w:ascii="Times New Roman" w:hAnsi="Times New Roman"/>
          <w:sz w:val="24"/>
          <w:szCs w:val="24"/>
          <w:lang w:val="ru-RU"/>
        </w:rPr>
        <w:t>В результате противостояния «регуляторы» сосредоточились на политике нормирования, а «экономисты» - на попытках оценки возмещения ущерба.</w:t>
      </w:r>
      <w:r w:rsidR="00EA2D5C">
        <w:rPr>
          <w:rFonts w:ascii="Times New Roman" w:hAnsi="Times New Roman"/>
          <w:sz w:val="24"/>
          <w:szCs w:val="24"/>
          <w:lang w:val="ru-RU"/>
        </w:rPr>
        <w:t xml:space="preserve"> Нормативный подход в то время брал верх, а налогообложение загрязнения развивалось мало. </w:t>
      </w:r>
    </w:p>
    <w:p w:rsidR="00A233DF" w:rsidRDefault="00B62E6C"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В 1960 г. Рональд </w:t>
      </w:r>
      <w:proofErr w:type="spellStart"/>
      <w:r>
        <w:rPr>
          <w:rFonts w:ascii="Times New Roman" w:hAnsi="Times New Roman"/>
          <w:sz w:val="24"/>
          <w:szCs w:val="24"/>
          <w:lang w:val="ru-RU"/>
        </w:rPr>
        <w:t>Ко</w:t>
      </w:r>
      <w:r w:rsidR="001B325E">
        <w:rPr>
          <w:rFonts w:ascii="Times New Roman" w:hAnsi="Times New Roman"/>
          <w:sz w:val="24"/>
          <w:szCs w:val="24"/>
          <w:lang w:val="ru-RU"/>
        </w:rPr>
        <w:t>у</w:t>
      </w:r>
      <w:r>
        <w:rPr>
          <w:rFonts w:ascii="Times New Roman" w:hAnsi="Times New Roman"/>
          <w:sz w:val="24"/>
          <w:szCs w:val="24"/>
          <w:lang w:val="ru-RU"/>
        </w:rPr>
        <w:t>з</w:t>
      </w:r>
      <w:proofErr w:type="spellEnd"/>
      <w:r>
        <w:rPr>
          <w:rFonts w:ascii="Times New Roman" w:hAnsi="Times New Roman"/>
          <w:sz w:val="24"/>
          <w:szCs w:val="24"/>
          <w:lang w:val="ru-RU"/>
        </w:rPr>
        <w:t xml:space="preserve"> </w:t>
      </w:r>
      <w:r w:rsidR="001B325E">
        <w:rPr>
          <w:rFonts w:ascii="Times New Roman" w:hAnsi="Times New Roman"/>
          <w:sz w:val="24"/>
          <w:szCs w:val="24"/>
          <w:lang w:val="ru-RU"/>
        </w:rPr>
        <w:t xml:space="preserve">выступил с альтернативным подходом, который, в отличие от подхода </w:t>
      </w:r>
      <w:proofErr w:type="spellStart"/>
      <w:r w:rsidR="001B325E">
        <w:rPr>
          <w:rFonts w:ascii="Times New Roman" w:hAnsi="Times New Roman"/>
          <w:sz w:val="24"/>
          <w:szCs w:val="24"/>
          <w:lang w:val="ru-RU"/>
        </w:rPr>
        <w:t>Пигу</w:t>
      </w:r>
      <w:proofErr w:type="spellEnd"/>
      <w:r w:rsidR="001B325E">
        <w:rPr>
          <w:rFonts w:ascii="Times New Roman" w:hAnsi="Times New Roman"/>
          <w:sz w:val="24"/>
          <w:szCs w:val="24"/>
          <w:lang w:val="ru-RU"/>
        </w:rPr>
        <w:t xml:space="preserve">, предполагал, что не </w:t>
      </w:r>
      <w:r w:rsidR="00A233DF">
        <w:rPr>
          <w:rFonts w:ascii="Times New Roman" w:hAnsi="Times New Roman"/>
          <w:sz w:val="24"/>
          <w:szCs w:val="24"/>
          <w:lang w:val="ru-RU"/>
        </w:rPr>
        <w:t>государство</w:t>
      </w:r>
      <w:r w:rsidR="001B325E">
        <w:rPr>
          <w:rFonts w:ascii="Times New Roman" w:hAnsi="Times New Roman"/>
          <w:sz w:val="24"/>
          <w:szCs w:val="24"/>
          <w:lang w:val="ru-RU"/>
        </w:rPr>
        <w:t xml:space="preserve">, а рынок может назначать </w:t>
      </w:r>
      <w:r w:rsidR="00A233DF">
        <w:rPr>
          <w:rFonts w:ascii="Times New Roman" w:hAnsi="Times New Roman"/>
          <w:sz w:val="24"/>
          <w:szCs w:val="24"/>
          <w:lang w:val="ru-RU"/>
        </w:rPr>
        <w:t>цену</w:t>
      </w:r>
      <w:r w:rsidR="001B325E">
        <w:rPr>
          <w:rFonts w:ascii="Times New Roman" w:hAnsi="Times New Roman"/>
          <w:sz w:val="24"/>
          <w:szCs w:val="24"/>
          <w:lang w:val="ru-RU"/>
        </w:rPr>
        <w:t xml:space="preserve"> загрязнению</w:t>
      </w:r>
      <w:r w:rsidR="00A233DF">
        <w:rPr>
          <w:rFonts w:ascii="Times New Roman" w:hAnsi="Times New Roman"/>
          <w:sz w:val="24"/>
          <w:szCs w:val="24"/>
          <w:lang w:val="ru-RU"/>
        </w:rPr>
        <w:t>.</w:t>
      </w:r>
      <w:r w:rsidR="000A5D9C">
        <w:rPr>
          <w:rStyle w:val="ad"/>
          <w:rFonts w:ascii="Times New Roman" w:hAnsi="Times New Roman"/>
          <w:sz w:val="24"/>
          <w:szCs w:val="24"/>
          <w:lang w:val="ru-RU"/>
        </w:rPr>
        <w:footnoteReference w:id="33"/>
      </w:r>
    </w:p>
    <w:p w:rsidR="0001578F" w:rsidRDefault="00A233DF"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Именно этот подход и стал основой дальнейшего </w:t>
      </w:r>
      <w:proofErr w:type="gramStart"/>
      <w:r>
        <w:rPr>
          <w:rFonts w:ascii="Times New Roman" w:hAnsi="Times New Roman"/>
          <w:sz w:val="24"/>
          <w:szCs w:val="24"/>
          <w:lang w:val="ru-RU"/>
        </w:rPr>
        <w:t>развития соответствующих механизмов контроля загрязнения окружающей среды</w:t>
      </w:r>
      <w:proofErr w:type="gramEnd"/>
      <w:r>
        <w:rPr>
          <w:rFonts w:ascii="Times New Roman" w:hAnsi="Times New Roman"/>
          <w:sz w:val="24"/>
          <w:szCs w:val="24"/>
          <w:lang w:val="ru-RU"/>
        </w:rPr>
        <w:t>.</w:t>
      </w:r>
      <w:r w:rsidR="001B325E">
        <w:rPr>
          <w:rFonts w:ascii="Times New Roman" w:hAnsi="Times New Roman"/>
          <w:sz w:val="24"/>
          <w:szCs w:val="24"/>
          <w:lang w:val="ru-RU"/>
        </w:rPr>
        <w:t xml:space="preserve"> </w:t>
      </w:r>
      <w:r>
        <w:rPr>
          <w:rFonts w:ascii="Times New Roman" w:hAnsi="Times New Roman"/>
          <w:sz w:val="24"/>
          <w:szCs w:val="24"/>
          <w:lang w:val="ru-RU"/>
        </w:rPr>
        <w:t>Джон</w:t>
      </w:r>
      <w:r w:rsidRPr="00073DB1">
        <w:rPr>
          <w:rFonts w:ascii="Times New Roman" w:hAnsi="Times New Roman"/>
          <w:sz w:val="24"/>
          <w:szCs w:val="24"/>
          <w:lang w:val="ru-RU"/>
        </w:rPr>
        <w:t xml:space="preserve"> </w:t>
      </w:r>
      <w:proofErr w:type="spellStart"/>
      <w:r>
        <w:rPr>
          <w:rFonts w:ascii="Times New Roman" w:hAnsi="Times New Roman"/>
          <w:sz w:val="24"/>
          <w:szCs w:val="24"/>
          <w:lang w:val="ru-RU"/>
        </w:rPr>
        <w:t>Дэйлз</w:t>
      </w:r>
      <w:proofErr w:type="spellEnd"/>
      <w:r w:rsidRPr="00073DB1">
        <w:rPr>
          <w:rFonts w:ascii="Times New Roman" w:hAnsi="Times New Roman"/>
          <w:sz w:val="24"/>
          <w:szCs w:val="24"/>
          <w:lang w:val="ru-RU"/>
        </w:rPr>
        <w:t xml:space="preserve"> </w:t>
      </w:r>
      <w:r>
        <w:rPr>
          <w:rFonts w:ascii="Times New Roman" w:hAnsi="Times New Roman"/>
          <w:sz w:val="24"/>
          <w:szCs w:val="24"/>
          <w:lang w:val="ru-RU"/>
        </w:rPr>
        <w:t>в</w:t>
      </w:r>
      <w:r w:rsidRPr="00073DB1">
        <w:rPr>
          <w:rFonts w:ascii="Times New Roman" w:hAnsi="Times New Roman"/>
          <w:sz w:val="24"/>
          <w:szCs w:val="24"/>
          <w:lang w:val="ru-RU"/>
        </w:rPr>
        <w:t xml:space="preserve"> 1968 </w:t>
      </w:r>
      <w:r>
        <w:rPr>
          <w:rFonts w:ascii="Times New Roman" w:hAnsi="Times New Roman"/>
          <w:sz w:val="24"/>
          <w:szCs w:val="24"/>
          <w:lang w:val="ru-RU"/>
        </w:rPr>
        <w:t>г</w:t>
      </w:r>
      <w:r w:rsidRPr="00073DB1">
        <w:rPr>
          <w:rFonts w:ascii="Times New Roman" w:hAnsi="Times New Roman"/>
          <w:sz w:val="24"/>
          <w:szCs w:val="24"/>
          <w:lang w:val="ru-RU"/>
        </w:rPr>
        <w:t>.</w:t>
      </w:r>
      <w:r w:rsidR="007B6E29">
        <w:rPr>
          <w:rStyle w:val="ad"/>
          <w:rFonts w:ascii="Times New Roman" w:hAnsi="Times New Roman"/>
          <w:sz w:val="24"/>
          <w:szCs w:val="24"/>
          <w:lang w:val="ru-RU"/>
        </w:rPr>
        <w:footnoteReference w:id="34"/>
      </w:r>
      <w:r w:rsidRPr="00073DB1">
        <w:rPr>
          <w:rFonts w:ascii="Times New Roman" w:hAnsi="Times New Roman"/>
          <w:sz w:val="24"/>
          <w:szCs w:val="24"/>
          <w:lang w:val="ru-RU"/>
        </w:rPr>
        <w:t xml:space="preserve"> </w:t>
      </w:r>
      <w:r>
        <w:rPr>
          <w:rFonts w:ascii="Times New Roman" w:hAnsi="Times New Roman"/>
          <w:sz w:val="24"/>
          <w:szCs w:val="24"/>
          <w:lang w:val="ru-RU"/>
        </w:rPr>
        <w:t>и</w:t>
      </w:r>
      <w:r w:rsidRPr="00073DB1">
        <w:rPr>
          <w:rFonts w:ascii="Times New Roman" w:hAnsi="Times New Roman"/>
          <w:sz w:val="24"/>
          <w:szCs w:val="24"/>
          <w:lang w:val="ru-RU"/>
        </w:rPr>
        <w:t xml:space="preserve"> </w:t>
      </w:r>
      <w:r>
        <w:rPr>
          <w:rFonts w:ascii="Times New Roman" w:hAnsi="Times New Roman"/>
          <w:sz w:val="24"/>
          <w:szCs w:val="24"/>
          <w:lang w:val="ru-RU"/>
        </w:rPr>
        <w:t>Том</w:t>
      </w:r>
      <w:r w:rsidRPr="00073DB1">
        <w:rPr>
          <w:rFonts w:ascii="Times New Roman" w:hAnsi="Times New Roman"/>
          <w:sz w:val="24"/>
          <w:szCs w:val="24"/>
          <w:lang w:val="ru-RU"/>
        </w:rPr>
        <w:t xml:space="preserve"> </w:t>
      </w:r>
      <w:proofErr w:type="spellStart"/>
      <w:r>
        <w:rPr>
          <w:rFonts w:ascii="Times New Roman" w:hAnsi="Times New Roman"/>
          <w:sz w:val="24"/>
          <w:szCs w:val="24"/>
          <w:lang w:val="ru-RU"/>
        </w:rPr>
        <w:t>Крокер</w:t>
      </w:r>
      <w:proofErr w:type="spellEnd"/>
      <w:r w:rsidRPr="00073DB1">
        <w:rPr>
          <w:rFonts w:ascii="Times New Roman" w:hAnsi="Times New Roman"/>
          <w:sz w:val="24"/>
          <w:szCs w:val="24"/>
          <w:lang w:val="ru-RU"/>
        </w:rPr>
        <w:t xml:space="preserve"> </w:t>
      </w:r>
      <w:r>
        <w:rPr>
          <w:rFonts w:ascii="Times New Roman" w:hAnsi="Times New Roman"/>
          <w:sz w:val="24"/>
          <w:szCs w:val="24"/>
          <w:lang w:val="ru-RU"/>
        </w:rPr>
        <w:t>в</w:t>
      </w:r>
      <w:r w:rsidRPr="00073DB1">
        <w:rPr>
          <w:rFonts w:ascii="Times New Roman" w:hAnsi="Times New Roman"/>
          <w:sz w:val="24"/>
          <w:szCs w:val="24"/>
          <w:lang w:val="ru-RU"/>
        </w:rPr>
        <w:t xml:space="preserve"> 1966 </w:t>
      </w:r>
      <w:r>
        <w:rPr>
          <w:rFonts w:ascii="Times New Roman" w:hAnsi="Times New Roman"/>
          <w:sz w:val="24"/>
          <w:szCs w:val="24"/>
          <w:lang w:val="ru-RU"/>
        </w:rPr>
        <w:t>г</w:t>
      </w:r>
      <w:r w:rsidRPr="00073DB1">
        <w:rPr>
          <w:rFonts w:ascii="Times New Roman" w:hAnsi="Times New Roman"/>
          <w:sz w:val="24"/>
          <w:szCs w:val="24"/>
          <w:lang w:val="ru-RU"/>
        </w:rPr>
        <w:t>.</w:t>
      </w:r>
      <w:r w:rsidR="007B6E29">
        <w:rPr>
          <w:rStyle w:val="ad"/>
          <w:rFonts w:ascii="Times New Roman" w:hAnsi="Times New Roman"/>
          <w:sz w:val="24"/>
          <w:szCs w:val="24"/>
          <w:lang w:val="ru-RU"/>
        </w:rPr>
        <w:footnoteReference w:id="35"/>
      </w:r>
      <w:r>
        <w:rPr>
          <w:rFonts w:ascii="Times New Roman" w:hAnsi="Times New Roman"/>
          <w:sz w:val="24"/>
          <w:szCs w:val="24"/>
          <w:lang w:val="ru-RU"/>
        </w:rPr>
        <w:t xml:space="preserve"> </w:t>
      </w:r>
      <w:r w:rsidR="00073DB1">
        <w:rPr>
          <w:rFonts w:ascii="Times New Roman" w:hAnsi="Times New Roman"/>
          <w:sz w:val="24"/>
          <w:szCs w:val="24"/>
          <w:lang w:val="ru-RU"/>
        </w:rPr>
        <w:t>обосновали практическую применимость этой концепции к загрязнению воды и воздуха, соответственно.</w:t>
      </w:r>
    </w:p>
    <w:p w:rsidR="00073DB1" w:rsidRDefault="002B7461"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Уже отсюда видно, что т</w:t>
      </w:r>
      <w:r w:rsidR="00073DB1">
        <w:rPr>
          <w:rFonts w:ascii="Times New Roman" w:hAnsi="Times New Roman"/>
          <w:sz w:val="24"/>
          <w:szCs w:val="24"/>
          <w:lang w:val="ru-RU"/>
        </w:rPr>
        <w:t xml:space="preserve">орговля квотами </w:t>
      </w:r>
      <w:r w:rsidR="00AE50AB">
        <w:rPr>
          <w:rFonts w:ascii="Times New Roman" w:hAnsi="Times New Roman"/>
          <w:sz w:val="24"/>
          <w:szCs w:val="24"/>
          <w:lang w:val="ru-RU"/>
        </w:rPr>
        <w:t xml:space="preserve">на </w:t>
      </w:r>
      <w:r w:rsidR="00073DB1">
        <w:rPr>
          <w:rFonts w:ascii="Times New Roman" w:hAnsi="Times New Roman"/>
          <w:sz w:val="24"/>
          <w:szCs w:val="24"/>
          <w:lang w:val="ru-RU"/>
        </w:rPr>
        <w:t xml:space="preserve">выбросы это «такая засада», которая стала результатом чуть не 100-летнего развития экономической мысли и </w:t>
      </w:r>
      <w:r w:rsidR="000A5D9C">
        <w:rPr>
          <w:rFonts w:ascii="Times New Roman" w:hAnsi="Times New Roman"/>
          <w:sz w:val="24"/>
          <w:szCs w:val="24"/>
          <w:lang w:val="ru-RU"/>
        </w:rPr>
        <w:t xml:space="preserve">десятилетий </w:t>
      </w:r>
      <w:r w:rsidR="00073DB1">
        <w:rPr>
          <w:rFonts w:ascii="Times New Roman" w:hAnsi="Times New Roman"/>
          <w:sz w:val="24"/>
          <w:szCs w:val="24"/>
          <w:lang w:val="ru-RU"/>
        </w:rPr>
        <w:t>практическ</w:t>
      </w:r>
      <w:r w:rsidR="000A5D9C">
        <w:rPr>
          <w:rFonts w:ascii="Times New Roman" w:hAnsi="Times New Roman"/>
          <w:sz w:val="24"/>
          <w:szCs w:val="24"/>
          <w:lang w:val="ru-RU"/>
        </w:rPr>
        <w:t>ого опыта</w:t>
      </w:r>
      <w:r w:rsidR="00073DB1">
        <w:rPr>
          <w:rFonts w:ascii="Times New Roman" w:hAnsi="Times New Roman"/>
          <w:sz w:val="24"/>
          <w:szCs w:val="24"/>
          <w:lang w:val="ru-RU"/>
        </w:rPr>
        <w:t xml:space="preserve"> </w:t>
      </w:r>
      <w:r w:rsidR="000A5D9C">
        <w:rPr>
          <w:rFonts w:ascii="Times New Roman" w:hAnsi="Times New Roman"/>
          <w:sz w:val="24"/>
          <w:szCs w:val="24"/>
          <w:lang w:val="ru-RU"/>
        </w:rPr>
        <w:t>применения</w:t>
      </w:r>
      <w:r w:rsidR="00073DB1">
        <w:rPr>
          <w:rFonts w:ascii="Times New Roman" w:hAnsi="Times New Roman"/>
          <w:sz w:val="24"/>
          <w:szCs w:val="24"/>
          <w:lang w:val="ru-RU"/>
        </w:rPr>
        <w:t xml:space="preserve">. </w:t>
      </w:r>
    </w:p>
    <w:p w:rsidR="004B10F5" w:rsidRDefault="00085979"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Далее в 1971 г. </w:t>
      </w:r>
      <w:proofErr w:type="spellStart"/>
      <w:r>
        <w:rPr>
          <w:rFonts w:ascii="Times New Roman" w:hAnsi="Times New Roman"/>
          <w:sz w:val="24"/>
          <w:szCs w:val="24"/>
          <w:lang w:val="ru-RU"/>
        </w:rPr>
        <w:t>Баумол</w:t>
      </w:r>
      <w:proofErr w:type="spellEnd"/>
      <w:r>
        <w:rPr>
          <w:rFonts w:ascii="Times New Roman" w:hAnsi="Times New Roman"/>
          <w:sz w:val="24"/>
          <w:szCs w:val="24"/>
          <w:lang w:val="ru-RU"/>
        </w:rPr>
        <w:t xml:space="preserve"> и</w:t>
      </w:r>
      <w:r w:rsidR="00C10D12">
        <w:rPr>
          <w:rFonts w:ascii="Times New Roman" w:hAnsi="Times New Roman"/>
          <w:sz w:val="24"/>
          <w:szCs w:val="24"/>
          <w:lang w:val="ru-RU"/>
        </w:rPr>
        <w:t xml:space="preserve"> </w:t>
      </w:r>
      <w:proofErr w:type="spellStart"/>
      <w:r w:rsidR="00C10D12">
        <w:rPr>
          <w:rFonts w:ascii="Times New Roman" w:hAnsi="Times New Roman"/>
          <w:sz w:val="24"/>
          <w:szCs w:val="24"/>
          <w:lang w:val="ru-RU"/>
        </w:rPr>
        <w:t>Оатс</w:t>
      </w:r>
      <w:proofErr w:type="spellEnd"/>
      <w:r>
        <w:rPr>
          <w:rFonts w:ascii="Times New Roman" w:hAnsi="Times New Roman"/>
          <w:sz w:val="24"/>
          <w:szCs w:val="24"/>
          <w:lang w:val="ru-RU"/>
        </w:rPr>
        <w:t xml:space="preserve"> </w:t>
      </w:r>
      <w:r w:rsidR="00C10D12">
        <w:rPr>
          <w:rFonts w:ascii="Times New Roman" w:hAnsi="Times New Roman"/>
          <w:sz w:val="24"/>
          <w:szCs w:val="24"/>
          <w:lang w:val="ru-RU"/>
        </w:rPr>
        <w:t xml:space="preserve">уже </w:t>
      </w:r>
      <w:r w:rsidR="00F54749">
        <w:rPr>
          <w:rFonts w:ascii="Times New Roman" w:hAnsi="Times New Roman"/>
          <w:sz w:val="24"/>
          <w:szCs w:val="24"/>
          <w:lang w:val="ru-RU"/>
        </w:rPr>
        <w:t>математически</w:t>
      </w:r>
      <w:r w:rsidR="00C10D12">
        <w:rPr>
          <w:rFonts w:ascii="Times New Roman" w:hAnsi="Times New Roman"/>
          <w:sz w:val="24"/>
          <w:szCs w:val="24"/>
          <w:lang w:val="ru-RU"/>
        </w:rPr>
        <w:t xml:space="preserve"> доказали правильность </w:t>
      </w:r>
      <w:r w:rsidR="00F54749">
        <w:rPr>
          <w:rFonts w:ascii="Times New Roman" w:hAnsi="Times New Roman"/>
          <w:sz w:val="24"/>
          <w:szCs w:val="24"/>
          <w:lang w:val="ru-RU"/>
        </w:rPr>
        <w:t xml:space="preserve">«ценового» </w:t>
      </w:r>
      <w:r w:rsidR="00C10D12">
        <w:rPr>
          <w:rFonts w:ascii="Times New Roman" w:hAnsi="Times New Roman"/>
          <w:sz w:val="24"/>
          <w:szCs w:val="24"/>
          <w:lang w:val="ru-RU"/>
        </w:rPr>
        <w:t>подхода.</w:t>
      </w:r>
      <w:r>
        <w:rPr>
          <w:rStyle w:val="ad"/>
          <w:rFonts w:ascii="Times New Roman" w:hAnsi="Times New Roman"/>
          <w:sz w:val="24"/>
          <w:szCs w:val="24"/>
          <w:lang w:val="ru-RU"/>
        </w:rPr>
        <w:footnoteReference w:id="36"/>
      </w:r>
      <w:r w:rsidR="00DD1F78">
        <w:rPr>
          <w:rFonts w:ascii="Times New Roman" w:hAnsi="Times New Roman"/>
          <w:sz w:val="24"/>
          <w:szCs w:val="24"/>
          <w:lang w:val="ru-RU"/>
        </w:rPr>
        <w:t xml:space="preserve"> А именно то, что единый тариф за загрязнение, для всех источников при правильно выбранном уровне приводит к намеченному результату с наименьшими </w:t>
      </w:r>
      <w:r w:rsidR="004B10F5">
        <w:rPr>
          <w:rFonts w:ascii="Times New Roman" w:hAnsi="Times New Roman"/>
          <w:sz w:val="24"/>
          <w:szCs w:val="24"/>
          <w:lang w:val="ru-RU"/>
        </w:rPr>
        <w:t>затратами</w:t>
      </w:r>
      <w:r w:rsidR="00DD1F78">
        <w:rPr>
          <w:rFonts w:ascii="Times New Roman" w:hAnsi="Times New Roman"/>
          <w:sz w:val="24"/>
          <w:szCs w:val="24"/>
          <w:lang w:val="ru-RU"/>
        </w:rPr>
        <w:t xml:space="preserve">. Другое дело, что </w:t>
      </w:r>
      <w:r w:rsidR="004B10F5">
        <w:rPr>
          <w:rFonts w:ascii="Times New Roman" w:hAnsi="Times New Roman"/>
          <w:sz w:val="24"/>
          <w:szCs w:val="24"/>
          <w:lang w:val="ru-RU"/>
        </w:rPr>
        <w:t xml:space="preserve">«правильный» тариф в случае государственного регулирования может быть найден только путем проб и ошибок, что занимает много времени и сопровождается противоречиями, подобными тому, которое описывалось выше, в случае с платой за сжигание попутного нефтяного газа. </w:t>
      </w:r>
    </w:p>
    <w:p w:rsidR="00837238" w:rsidRDefault="004B10F5"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Кроме того, это доказательство применимо только в том случае, если все загрязнения от всех источников наносят одинаковый вред окружающей среде. А на практике это как раз тот редкий случай</w:t>
      </w:r>
      <w:r w:rsidR="00837238">
        <w:rPr>
          <w:rFonts w:ascii="Times New Roman" w:hAnsi="Times New Roman"/>
          <w:sz w:val="24"/>
          <w:szCs w:val="24"/>
          <w:lang w:val="ru-RU"/>
        </w:rPr>
        <w:t xml:space="preserve"> </w:t>
      </w:r>
      <w:r>
        <w:rPr>
          <w:rFonts w:ascii="Times New Roman" w:hAnsi="Times New Roman"/>
          <w:sz w:val="24"/>
          <w:szCs w:val="24"/>
          <w:lang w:val="ru-RU"/>
        </w:rPr>
        <w:t xml:space="preserve">с парниковыми газами, поскольку </w:t>
      </w:r>
      <w:r w:rsidR="00837238">
        <w:rPr>
          <w:rFonts w:ascii="Times New Roman" w:hAnsi="Times New Roman"/>
          <w:sz w:val="24"/>
          <w:szCs w:val="24"/>
          <w:lang w:val="ru-RU"/>
        </w:rPr>
        <w:t>вред не зависит от местоположения и мощности источника.</w:t>
      </w:r>
    </w:p>
    <w:p w:rsidR="000A5D9C" w:rsidRDefault="00DD1F78"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00837238">
        <w:rPr>
          <w:rFonts w:ascii="Times New Roman" w:hAnsi="Times New Roman"/>
          <w:sz w:val="24"/>
          <w:szCs w:val="24"/>
          <w:lang w:val="ru-RU"/>
        </w:rPr>
        <w:t>Что же касается назначения правильной платы, то, в отличие от госрегулирования, рынок назначает цену в зависимости от спроса и предложения и это происходит мгновенно.</w:t>
      </w:r>
    </w:p>
    <w:p w:rsidR="00837238" w:rsidRPr="00073DB1" w:rsidRDefault="00837238" w:rsidP="0001578F">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Случаи с региональными загрязнителями, в отличие от парниковых, требовали более сложных подходов, учитывающих и местоположение и концентрацию</w:t>
      </w:r>
    </w:p>
    <w:p w:rsidR="00B03864" w:rsidRDefault="00EC1512" w:rsidP="000A7473">
      <w:pPr>
        <w:spacing w:after="120"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 xml:space="preserve">Начиная с </w:t>
      </w:r>
      <w:r w:rsidR="000A7473">
        <w:rPr>
          <w:rFonts w:ascii="Times New Roman" w:hAnsi="Times New Roman"/>
          <w:sz w:val="24"/>
          <w:szCs w:val="24"/>
          <w:lang w:val="ru-RU"/>
        </w:rPr>
        <w:t xml:space="preserve"> опубликования работы Мартина </w:t>
      </w:r>
      <w:proofErr w:type="spellStart"/>
      <w:r w:rsidR="000A7473">
        <w:rPr>
          <w:rFonts w:ascii="Times New Roman" w:hAnsi="Times New Roman"/>
          <w:sz w:val="24"/>
          <w:szCs w:val="24"/>
          <w:lang w:val="ru-RU"/>
        </w:rPr>
        <w:t>Вейцмана</w:t>
      </w:r>
      <w:proofErr w:type="spellEnd"/>
      <w:r w:rsidR="000A7473">
        <w:rPr>
          <w:rFonts w:ascii="Times New Roman" w:hAnsi="Times New Roman"/>
          <w:sz w:val="24"/>
          <w:szCs w:val="24"/>
          <w:lang w:val="ru-RU"/>
        </w:rPr>
        <w:t xml:space="preserve"> «Цены против количества»</w:t>
      </w:r>
      <w:r w:rsidR="000A7473">
        <w:rPr>
          <w:rStyle w:val="ad"/>
          <w:rFonts w:ascii="Times New Roman" w:hAnsi="Times New Roman"/>
          <w:sz w:val="24"/>
          <w:szCs w:val="24"/>
          <w:lang w:val="ru-RU"/>
        </w:rPr>
        <w:footnoteReference w:id="37"/>
      </w:r>
      <w:r w:rsidR="009262A6" w:rsidRPr="009262A6">
        <w:rPr>
          <w:rFonts w:ascii="Times New Roman" w:hAnsi="Times New Roman"/>
          <w:sz w:val="24"/>
          <w:szCs w:val="24"/>
          <w:lang w:val="ru-RU"/>
        </w:rPr>
        <w:t xml:space="preserve"> </w:t>
      </w:r>
      <w:r w:rsidR="009262A6">
        <w:rPr>
          <w:rFonts w:ascii="Times New Roman" w:hAnsi="Times New Roman"/>
          <w:sz w:val="24"/>
          <w:szCs w:val="24"/>
          <w:lang w:val="ru-RU"/>
        </w:rPr>
        <w:t>в 1974 году</w:t>
      </w:r>
      <w:r>
        <w:rPr>
          <w:rFonts w:ascii="Times New Roman" w:hAnsi="Times New Roman"/>
          <w:sz w:val="24"/>
          <w:szCs w:val="24"/>
          <w:lang w:val="ru-RU"/>
        </w:rPr>
        <w:t>, был</w:t>
      </w:r>
      <w:r w:rsidR="009262A6">
        <w:rPr>
          <w:rFonts w:ascii="Times New Roman" w:hAnsi="Times New Roman"/>
          <w:sz w:val="24"/>
          <w:szCs w:val="24"/>
          <w:lang w:val="ru-RU"/>
        </w:rPr>
        <w:t xml:space="preserve"> накоплен </w:t>
      </w:r>
      <w:r>
        <w:rPr>
          <w:rFonts w:ascii="Times New Roman" w:hAnsi="Times New Roman"/>
          <w:sz w:val="24"/>
          <w:szCs w:val="24"/>
          <w:lang w:val="ru-RU"/>
        </w:rPr>
        <w:t>огромный</w:t>
      </w:r>
      <w:r w:rsidR="009262A6">
        <w:rPr>
          <w:rFonts w:ascii="Times New Roman" w:hAnsi="Times New Roman"/>
          <w:sz w:val="24"/>
          <w:szCs w:val="24"/>
          <w:lang w:val="ru-RU"/>
        </w:rPr>
        <w:t xml:space="preserve"> объем исследований по вопросу о преимуществах и недостатках рыночных и административн</w:t>
      </w:r>
      <w:r w:rsidR="00B03864">
        <w:rPr>
          <w:rFonts w:ascii="Times New Roman" w:hAnsi="Times New Roman"/>
          <w:sz w:val="24"/>
          <w:szCs w:val="24"/>
          <w:lang w:val="ru-RU"/>
        </w:rPr>
        <w:t>о-ценовых</w:t>
      </w:r>
      <w:r w:rsidR="009262A6">
        <w:rPr>
          <w:rFonts w:ascii="Times New Roman" w:hAnsi="Times New Roman"/>
          <w:sz w:val="24"/>
          <w:szCs w:val="24"/>
          <w:lang w:val="ru-RU"/>
        </w:rPr>
        <w:t xml:space="preserve"> механизм</w:t>
      </w:r>
      <w:r w:rsidR="00FA3F69">
        <w:rPr>
          <w:rFonts w:ascii="Times New Roman" w:hAnsi="Times New Roman"/>
          <w:sz w:val="24"/>
          <w:szCs w:val="24"/>
          <w:lang w:val="ru-RU"/>
        </w:rPr>
        <w:t>ов</w:t>
      </w:r>
      <w:r w:rsidR="009262A6">
        <w:rPr>
          <w:rFonts w:ascii="Times New Roman" w:hAnsi="Times New Roman"/>
          <w:sz w:val="24"/>
          <w:szCs w:val="24"/>
          <w:lang w:val="ru-RU"/>
        </w:rPr>
        <w:t xml:space="preserve"> контроля, регулирования атмосферных выбросов</w:t>
      </w:r>
      <w:r w:rsidR="00A56A7B">
        <w:rPr>
          <w:rFonts w:ascii="Times New Roman" w:hAnsi="Times New Roman"/>
          <w:sz w:val="24"/>
          <w:szCs w:val="24"/>
          <w:lang w:val="ru-RU"/>
        </w:rPr>
        <w:t xml:space="preserve">, о преимуществе механизмов, основанных на установлении объема выбросов, перед механизмами, основанными на «цене» выбросов, т.е. в нашем случае о преимуществах механизмов квотирования с правом переуступки </w:t>
      </w:r>
      <w:r w:rsidR="00A56A7B" w:rsidRPr="00A56A7B">
        <w:rPr>
          <w:rFonts w:ascii="Times New Roman" w:hAnsi="Times New Roman"/>
          <w:sz w:val="24"/>
          <w:szCs w:val="24"/>
          <w:lang w:val="ru-RU"/>
        </w:rPr>
        <w:t>(</w:t>
      </w:r>
      <w:r w:rsidR="00A56A7B">
        <w:rPr>
          <w:rFonts w:ascii="Times New Roman" w:hAnsi="Times New Roman"/>
          <w:sz w:val="24"/>
          <w:szCs w:val="24"/>
        </w:rPr>
        <w:t>cap</w:t>
      </w:r>
      <w:r w:rsidR="00A56A7B" w:rsidRPr="00A56A7B">
        <w:rPr>
          <w:rFonts w:ascii="Times New Roman" w:hAnsi="Times New Roman"/>
          <w:sz w:val="24"/>
          <w:szCs w:val="24"/>
          <w:lang w:val="ru-RU"/>
        </w:rPr>
        <w:t>-</w:t>
      </w:r>
      <w:r w:rsidR="00A56A7B">
        <w:rPr>
          <w:rFonts w:ascii="Times New Roman" w:hAnsi="Times New Roman"/>
          <w:sz w:val="24"/>
          <w:szCs w:val="24"/>
        </w:rPr>
        <w:t>and</w:t>
      </w:r>
      <w:r w:rsidR="00A56A7B" w:rsidRPr="00A56A7B">
        <w:rPr>
          <w:rFonts w:ascii="Times New Roman" w:hAnsi="Times New Roman"/>
          <w:sz w:val="24"/>
          <w:szCs w:val="24"/>
          <w:lang w:val="ru-RU"/>
        </w:rPr>
        <w:t>-</w:t>
      </w:r>
      <w:r w:rsidR="00A56A7B">
        <w:rPr>
          <w:rFonts w:ascii="Times New Roman" w:hAnsi="Times New Roman"/>
          <w:sz w:val="24"/>
          <w:szCs w:val="24"/>
        </w:rPr>
        <w:t>trade</w:t>
      </w:r>
      <w:r w:rsidR="00A56A7B" w:rsidRPr="00A56A7B">
        <w:rPr>
          <w:rFonts w:ascii="Times New Roman" w:hAnsi="Times New Roman"/>
          <w:sz w:val="24"/>
          <w:szCs w:val="24"/>
          <w:lang w:val="ru-RU"/>
        </w:rPr>
        <w:t xml:space="preserve">) </w:t>
      </w:r>
      <w:r w:rsidR="00A56A7B">
        <w:rPr>
          <w:rFonts w:ascii="Times New Roman" w:hAnsi="Times New Roman"/>
          <w:sz w:val="24"/>
          <w:szCs w:val="24"/>
          <w:lang w:val="ru-RU"/>
        </w:rPr>
        <w:t>перед системами</w:t>
      </w:r>
      <w:proofErr w:type="gramEnd"/>
      <w:r w:rsidR="00A56A7B">
        <w:rPr>
          <w:rFonts w:ascii="Times New Roman" w:hAnsi="Times New Roman"/>
          <w:sz w:val="24"/>
          <w:szCs w:val="24"/>
          <w:lang w:val="ru-RU"/>
        </w:rPr>
        <w:t xml:space="preserve"> платы, штрафов за выбросы или их налогообложением. </w:t>
      </w:r>
    </w:p>
    <w:p w:rsidR="00DB0051" w:rsidRDefault="00A56A7B" w:rsidP="000A7473">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И</w:t>
      </w:r>
      <w:r w:rsidR="00EC1512">
        <w:rPr>
          <w:rFonts w:ascii="Times New Roman" w:hAnsi="Times New Roman"/>
          <w:sz w:val="24"/>
          <w:szCs w:val="24"/>
          <w:lang w:val="ru-RU"/>
        </w:rPr>
        <w:t>,</w:t>
      </w:r>
      <w:r>
        <w:rPr>
          <w:rFonts w:ascii="Times New Roman" w:hAnsi="Times New Roman"/>
          <w:sz w:val="24"/>
          <w:szCs w:val="24"/>
          <w:lang w:val="ru-RU"/>
        </w:rPr>
        <w:t xml:space="preserve"> тем не менее</w:t>
      </w:r>
      <w:r w:rsidR="00EC1512">
        <w:rPr>
          <w:rFonts w:ascii="Times New Roman" w:hAnsi="Times New Roman"/>
          <w:sz w:val="24"/>
          <w:szCs w:val="24"/>
          <w:lang w:val="ru-RU"/>
        </w:rPr>
        <w:t>,</w:t>
      </w:r>
      <w:r>
        <w:rPr>
          <w:rFonts w:ascii="Times New Roman" w:hAnsi="Times New Roman"/>
          <w:sz w:val="24"/>
          <w:szCs w:val="24"/>
          <w:lang w:val="ru-RU"/>
        </w:rPr>
        <w:t xml:space="preserve"> </w:t>
      </w:r>
      <w:r w:rsidR="00FA3F69">
        <w:rPr>
          <w:rFonts w:ascii="Times New Roman" w:hAnsi="Times New Roman"/>
          <w:sz w:val="24"/>
          <w:szCs w:val="24"/>
          <w:lang w:val="ru-RU"/>
        </w:rPr>
        <w:t>ответ на этот вопрос остается во многих случаях неочевидным для участников таких ситуаций, как описанный выше конфликт</w:t>
      </w:r>
      <w:r w:rsidR="00EC1512">
        <w:rPr>
          <w:rFonts w:ascii="Times New Roman" w:hAnsi="Times New Roman"/>
          <w:sz w:val="24"/>
          <w:szCs w:val="24"/>
          <w:lang w:val="ru-RU"/>
        </w:rPr>
        <w:t xml:space="preserve"> М</w:t>
      </w:r>
      <w:r w:rsidR="00DB0051">
        <w:rPr>
          <w:rFonts w:ascii="Times New Roman" w:hAnsi="Times New Roman"/>
          <w:sz w:val="24"/>
          <w:szCs w:val="24"/>
          <w:lang w:val="ru-RU"/>
        </w:rPr>
        <w:t>инприроды и нефтяных компаний</w:t>
      </w:r>
      <w:r w:rsidR="00FA3F69">
        <w:rPr>
          <w:rFonts w:ascii="Times New Roman" w:hAnsi="Times New Roman"/>
          <w:sz w:val="24"/>
          <w:szCs w:val="24"/>
          <w:lang w:val="ru-RU"/>
        </w:rPr>
        <w:t xml:space="preserve"> по проблеме повышения штрафов за сжигание </w:t>
      </w:r>
      <w:proofErr w:type="spellStart"/>
      <w:r w:rsidR="00FA3F69">
        <w:rPr>
          <w:rFonts w:ascii="Times New Roman" w:hAnsi="Times New Roman"/>
          <w:sz w:val="24"/>
          <w:szCs w:val="24"/>
          <w:lang w:val="ru-RU"/>
        </w:rPr>
        <w:t>ПНГ</w:t>
      </w:r>
      <w:proofErr w:type="spellEnd"/>
      <w:r w:rsidR="00FA3F69">
        <w:rPr>
          <w:rFonts w:ascii="Times New Roman" w:hAnsi="Times New Roman"/>
          <w:sz w:val="24"/>
          <w:szCs w:val="24"/>
          <w:lang w:val="ru-RU"/>
        </w:rPr>
        <w:t xml:space="preserve">. </w:t>
      </w:r>
    </w:p>
    <w:p w:rsidR="00B03864" w:rsidRDefault="00FA3F69" w:rsidP="00E316C0">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Результаты этих исследований показывают, что </w:t>
      </w:r>
      <w:r w:rsidR="006E57EF">
        <w:rPr>
          <w:rFonts w:ascii="Times New Roman" w:hAnsi="Times New Roman"/>
          <w:sz w:val="24"/>
          <w:szCs w:val="24"/>
          <w:lang w:val="ru-RU"/>
        </w:rPr>
        <w:t xml:space="preserve">во многих случаях </w:t>
      </w:r>
      <w:r w:rsidR="000335B6">
        <w:rPr>
          <w:rFonts w:ascii="Times New Roman" w:hAnsi="Times New Roman"/>
          <w:sz w:val="24"/>
          <w:szCs w:val="24"/>
          <w:lang w:val="ru-RU"/>
        </w:rPr>
        <w:t>малейшая ошибка в определении цены выбросов приводит к непропорционально большим изменениям в результирующем объеме эмиссий и практической непредсказуемости собственно уровня загрязнения.</w:t>
      </w:r>
      <w:r w:rsidR="006E57EF">
        <w:rPr>
          <w:rFonts w:ascii="Times New Roman" w:hAnsi="Times New Roman"/>
          <w:sz w:val="24"/>
          <w:szCs w:val="24"/>
          <w:lang w:val="ru-RU"/>
        </w:rPr>
        <w:t xml:space="preserve"> </w:t>
      </w:r>
    </w:p>
    <w:p w:rsidR="00B03864" w:rsidRDefault="002B7461" w:rsidP="00E316C0">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«Ценовые»</w:t>
      </w:r>
      <w:r w:rsidR="006E57EF">
        <w:rPr>
          <w:rFonts w:ascii="Times New Roman" w:hAnsi="Times New Roman"/>
          <w:sz w:val="24"/>
          <w:szCs w:val="24"/>
          <w:lang w:val="ru-RU"/>
        </w:rPr>
        <w:t xml:space="preserve"> инструменты показывают свои сравнительные преимущества в тех случаях, когда </w:t>
      </w:r>
      <w:r w:rsidR="00DB0051">
        <w:rPr>
          <w:rFonts w:ascii="Times New Roman" w:hAnsi="Times New Roman"/>
          <w:sz w:val="24"/>
          <w:szCs w:val="24"/>
          <w:lang w:val="ru-RU"/>
        </w:rPr>
        <w:t xml:space="preserve">существует прямая, простая </w:t>
      </w:r>
      <w:r w:rsidR="006E57EF">
        <w:rPr>
          <w:rFonts w:ascii="Times New Roman" w:hAnsi="Times New Roman"/>
          <w:sz w:val="24"/>
          <w:szCs w:val="24"/>
          <w:lang w:val="ru-RU"/>
        </w:rPr>
        <w:t>линейная зависимость социальных, экологических результатов от уровня загрязнения</w:t>
      </w:r>
      <w:r w:rsidR="000C3898">
        <w:rPr>
          <w:rFonts w:ascii="Times New Roman" w:hAnsi="Times New Roman"/>
          <w:sz w:val="24"/>
          <w:szCs w:val="24"/>
          <w:lang w:val="ru-RU"/>
        </w:rPr>
        <w:t xml:space="preserve">. В таком случае регулирующему органу проще установить плату за выбросы и штраф за сверхнормативные выбросы, а производителю, соответственно, изменить объемы производства. </w:t>
      </w:r>
      <w:r w:rsidR="000335B6">
        <w:rPr>
          <w:rFonts w:ascii="Times New Roman" w:hAnsi="Times New Roman"/>
          <w:sz w:val="24"/>
          <w:szCs w:val="24"/>
          <w:lang w:val="ru-RU"/>
        </w:rPr>
        <w:t xml:space="preserve"> </w:t>
      </w:r>
    </w:p>
    <w:p w:rsidR="00B03864" w:rsidRDefault="000335B6" w:rsidP="00E316C0">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Даже без детального экономического анализа уже приведенный пример</w:t>
      </w:r>
      <w:r w:rsidR="00C92E5C">
        <w:rPr>
          <w:rFonts w:ascii="Times New Roman" w:hAnsi="Times New Roman"/>
          <w:sz w:val="24"/>
          <w:szCs w:val="24"/>
          <w:lang w:val="ru-RU"/>
        </w:rPr>
        <w:t xml:space="preserve"> с </w:t>
      </w:r>
      <w:proofErr w:type="spellStart"/>
      <w:r w:rsidR="00C92E5C">
        <w:rPr>
          <w:rFonts w:ascii="Times New Roman" w:hAnsi="Times New Roman"/>
          <w:sz w:val="24"/>
          <w:szCs w:val="24"/>
          <w:lang w:val="ru-RU"/>
        </w:rPr>
        <w:t>ПНГ</w:t>
      </w:r>
      <w:proofErr w:type="spellEnd"/>
      <w:r>
        <w:rPr>
          <w:rFonts w:ascii="Times New Roman" w:hAnsi="Times New Roman"/>
          <w:sz w:val="24"/>
          <w:szCs w:val="24"/>
          <w:lang w:val="ru-RU"/>
        </w:rPr>
        <w:t xml:space="preserve"> показывает, что чрезмерно высокий уровень платы за загрязнение может привести просто к отказу корпораций</w:t>
      </w:r>
      <w:r w:rsidR="00C92E5C">
        <w:rPr>
          <w:rFonts w:ascii="Times New Roman" w:hAnsi="Times New Roman"/>
          <w:sz w:val="24"/>
          <w:szCs w:val="24"/>
          <w:lang w:val="ru-RU"/>
        </w:rPr>
        <w:t>, особенно государственных</w:t>
      </w:r>
      <w:r w:rsidR="00F01FB8">
        <w:rPr>
          <w:rFonts w:ascii="Times New Roman" w:hAnsi="Times New Roman"/>
          <w:sz w:val="24"/>
          <w:szCs w:val="24"/>
          <w:lang w:val="ru-RU"/>
        </w:rPr>
        <w:t xml:space="preserve"> и особенно в условиях России</w:t>
      </w:r>
      <w:r w:rsidR="00C92E5C">
        <w:rPr>
          <w:rFonts w:ascii="Times New Roman" w:hAnsi="Times New Roman"/>
          <w:sz w:val="24"/>
          <w:szCs w:val="24"/>
          <w:lang w:val="ru-RU"/>
        </w:rPr>
        <w:t xml:space="preserve">, от </w:t>
      </w:r>
      <w:r w:rsidR="000C3898">
        <w:rPr>
          <w:rFonts w:ascii="Times New Roman" w:hAnsi="Times New Roman"/>
          <w:sz w:val="24"/>
          <w:szCs w:val="24"/>
          <w:lang w:val="ru-RU"/>
        </w:rPr>
        <w:t xml:space="preserve">производства или, что более вероятно, </w:t>
      </w:r>
      <w:r w:rsidR="00B03864">
        <w:rPr>
          <w:rFonts w:ascii="Times New Roman" w:hAnsi="Times New Roman"/>
          <w:sz w:val="24"/>
          <w:szCs w:val="24"/>
          <w:lang w:val="ru-RU"/>
        </w:rPr>
        <w:t xml:space="preserve">от </w:t>
      </w:r>
      <w:r w:rsidR="00C92E5C">
        <w:rPr>
          <w:rFonts w:ascii="Times New Roman" w:hAnsi="Times New Roman"/>
          <w:sz w:val="24"/>
          <w:szCs w:val="24"/>
          <w:lang w:val="ru-RU"/>
        </w:rPr>
        <w:t>уплаты каких-либо штрафов вообще.</w:t>
      </w:r>
      <w:r>
        <w:rPr>
          <w:rFonts w:ascii="Times New Roman" w:hAnsi="Times New Roman"/>
          <w:sz w:val="24"/>
          <w:szCs w:val="24"/>
          <w:lang w:val="ru-RU"/>
        </w:rPr>
        <w:t xml:space="preserve"> </w:t>
      </w:r>
    </w:p>
    <w:p w:rsidR="000621C4" w:rsidRDefault="00B03864" w:rsidP="00E316C0">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В</w:t>
      </w:r>
      <w:r w:rsidR="000C3898">
        <w:rPr>
          <w:rFonts w:ascii="Times New Roman" w:hAnsi="Times New Roman"/>
          <w:sz w:val="24"/>
          <w:szCs w:val="24"/>
          <w:lang w:val="ru-RU"/>
        </w:rPr>
        <w:t xml:space="preserve">ыбор в пользу </w:t>
      </w:r>
      <w:r>
        <w:rPr>
          <w:rFonts w:ascii="Times New Roman" w:hAnsi="Times New Roman"/>
          <w:sz w:val="24"/>
          <w:szCs w:val="24"/>
          <w:lang w:val="ru-RU"/>
        </w:rPr>
        <w:t>ценовых</w:t>
      </w:r>
      <w:r w:rsidR="000C3898">
        <w:rPr>
          <w:rFonts w:ascii="Times New Roman" w:hAnsi="Times New Roman"/>
          <w:sz w:val="24"/>
          <w:szCs w:val="24"/>
          <w:lang w:val="ru-RU"/>
        </w:rPr>
        <w:t xml:space="preserve"> инструментов в куда больш</w:t>
      </w:r>
      <w:r w:rsidR="00437795">
        <w:rPr>
          <w:rFonts w:ascii="Times New Roman" w:hAnsi="Times New Roman"/>
          <w:sz w:val="24"/>
          <w:szCs w:val="24"/>
          <w:lang w:val="ru-RU"/>
        </w:rPr>
        <w:t>ем числе</w:t>
      </w:r>
      <w:r w:rsidR="000C3898">
        <w:rPr>
          <w:rFonts w:ascii="Times New Roman" w:hAnsi="Times New Roman"/>
          <w:sz w:val="24"/>
          <w:szCs w:val="24"/>
          <w:lang w:val="ru-RU"/>
        </w:rPr>
        <w:t xml:space="preserve"> случа</w:t>
      </w:r>
      <w:r w:rsidR="00437795">
        <w:rPr>
          <w:rFonts w:ascii="Times New Roman" w:hAnsi="Times New Roman"/>
          <w:sz w:val="24"/>
          <w:szCs w:val="24"/>
          <w:lang w:val="ru-RU"/>
        </w:rPr>
        <w:t>ев</w:t>
      </w:r>
      <w:r w:rsidR="000C3898">
        <w:rPr>
          <w:rFonts w:ascii="Times New Roman" w:hAnsi="Times New Roman"/>
          <w:sz w:val="24"/>
          <w:szCs w:val="24"/>
          <w:lang w:val="ru-RU"/>
        </w:rPr>
        <w:t xml:space="preserve"> может оказаться катастрофическим по свои</w:t>
      </w:r>
      <w:r w:rsidR="00437795">
        <w:rPr>
          <w:rFonts w:ascii="Times New Roman" w:hAnsi="Times New Roman"/>
          <w:sz w:val="24"/>
          <w:szCs w:val="24"/>
          <w:lang w:val="ru-RU"/>
        </w:rPr>
        <w:t>м</w:t>
      </w:r>
      <w:r w:rsidR="000C3898">
        <w:rPr>
          <w:rFonts w:ascii="Times New Roman" w:hAnsi="Times New Roman"/>
          <w:sz w:val="24"/>
          <w:szCs w:val="24"/>
          <w:lang w:val="ru-RU"/>
        </w:rPr>
        <w:t xml:space="preserve"> социально-экономическим экологическим последствиям, чем выбор в пользу рыночного регулирования. </w:t>
      </w:r>
      <w:r w:rsidR="000621C4">
        <w:rPr>
          <w:rFonts w:ascii="Times New Roman" w:hAnsi="Times New Roman"/>
          <w:sz w:val="24"/>
          <w:szCs w:val="24"/>
          <w:lang w:val="ru-RU"/>
        </w:rPr>
        <w:t>По существу, единственным серьезным недостатком такого механизма могут стать чрезмерные затраты на его создание, в сравнении с результатами. То есть его не имеет смысла создавать для небольших масштабов и простых цепочек экономических взаимоотношений, за исключением экспериментов, пи</w:t>
      </w:r>
      <w:r w:rsidR="00A80776">
        <w:rPr>
          <w:rFonts w:ascii="Times New Roman" w:hAnsi="Times New Roman"/>
          <w:sz w:val="24"/>
          <w:szCs w:val="24"/>
          <w:lang w:val="ru-RU"/>
        </w:rPr>
        <w:t>лотных проектов, «деловых игр».</w:t>
      </w:r>
    </w:p>
    <w:p w:rsidR="00C111D6" w:rsidRDefault="00437795" w:rsidP="000A7473">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Если для простой цепочки производства и конечного потребления административное экологическое регулирование</w:t>
      </w:r>
      <w:r w:rsidR="002B7461">
        <w:rPr>
          <w:rFonts w:ascii="Times New Roman" w:hAnsi="Times New Roman"/>
          <w:sz w:val="24"/>
          <w:szCs w:val="24"/>
          <w:lang w:val="ru-RU"/>
        </w:rPr>
        <w:t>, основанное на плате и штрафах,</w:t>
      </w:r>
      <w:r>
        <w:rPr>
          <w:rFonts w:ascii="Times New Roman" w:hAnsi="Times New Roman"/>
          <w:sz w:val="24"/>
          <w:szCs w:val="24"/>
          <w:lang w:val="ru-RU"/>
        </w:rPr>
        <w:t xml:space="preserve"> может быть вполне оправданным, то, чем сложнее такая цепочка, тем менее эффективными </w:t>
      </w:r>
      <w:r w:rsidR="002B7461">
        <w:rPr>
          <w:rFonts w:ascii="Times New Roman" w:hAnsi="Times New Roman"/>
          <w:sz w:val="24"/>
          <w:szCs w:val="24"/>
          <w:lang w:val="ru-RU"/>
        </w:rPr>
        <w:t xml:space="preserve">они </w:t>
      </w:r>
      <w:r>
        <w:rPr>
          <w:rFonts w:ascii="Times New Roman" w:hAnsi="Times New Roman"/>
          <w:sz w:val="24"/>
          <w:szCs w:val="24"/>
          <w:lang w:val="ru-RU"/>
        </w:rPr>
        <w:t>становятся. Выбор в пользу рыночных механизмов становится очевидным в сложных системах</w:t>
      </w:r>
      <w:r w:rsidR="0027720E">
        <w:rPr>
          <w:rFonts w:ascii="Times New Roman" w:hAnsi="Times New Roman"/>
          <w:sz w:val="24"/>
          <w:szCs w:val="24"/>
          <w:lang w:val="ru-RU"/>
        </w:rPr>
        <w:t xml:space="preserve">, сложных и с точки зрения добычи, обработки, производства, и с точки зрения социально-экономических и экологических последствий изменения объема производства, технологий, занятости и т.д. </w:t>
      </w:r>
    </w:p>
    <w:p w:rsidR="00B03864" w:rsidRDefault="002B7461" w:rsidP="00B03864">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У</w:t>
      </w:r>
      <w:r w:rsidR="00492592">
        <w:rPr>
          <w:rFonts w:ascii="Times New Roman" w:hAnsi="Times New Roman"/>
          <w:sz w:val="24"/>
          <w:szCs w:val="24"/>
          <w:lang w:val="ru-RU"/>
        </w:rPr>
        <w:t xml:space="preserve">становление </w:t>
      </w:r>
      <w:r w:rsidR="00B03864">
        <w:rPr>
          <w:rFonts w:ascii="Times New Roman" w:hAnsi="Times New Roman"/>
          <w:sz w:val="24"/>
          <w:szCs w:val="24"/>
          <w:lang w:val="ru-RU"/>
        </w:rPr>
        <w:t xml:space="preserve">фиксированной платы, </w:t>
      </w:r>
      <w:r w:rsidR="00492592">
        <w:rPr>
          <w:rFonts w:ascii="Times New Roman" w:hAnsi="Times New Roman"/>
          <w:sz w:val="24"/>
          <w:szCs w:val="24"/>
          <w:lang w:val="ru-RU"/>
        </w:rPr>
        <w:t xml:space="preserve">фиксированного налога может быть вполне оправданным и эффективным для гомогенной группы производителей, которые различаются между собой только себестоимостью продукции. Установление для них единого налога на парниковые выбросы автоматически заставляет производителей с высокой себестоимостью продукции сокращать объемы производства и стимулирует рост производства по низкой себестоимости. </w:t>
      </w:r>
      <w:r w:rsidR="00C111D6">
        <w:rPr>
          <w:rFonts w:ascii="Times New Roman" w:hAnsi="Times New Roman"/>
          <w:sz w:val="24"/>
          <w:szCs w:val="24"/>
          <w:lang w:val="ru-RU"/>
        </w:rPr>
        <w:t xml:space="preserve">При прочих равных условиях преимущество </w:t>
      </w:r>
      <w:r>
        <w:rPr>
          <w:rFonts w:ascii="Times New Roman" w:hAnsi="Times New Roman"/>
          <w:sz w:val="24"/>
          <w:szCs w:val="24"/>
          <w:lang w:val="ru-RU"/>
        </w:rPr>
        <w:t>этого</w:t>
      </w:r>
      <w:r w:rsidR="00C111D6">
        <w:rPr>
          <w:rFonts w:ascii="Times New Roman" w:hAnsi="Times New Roman"/>
          <w:sz w:val="24"/>
          <w:szCs w:val="24"/>
          <w:lang w:val="ru-RU"/>
        </w:rPr>
        <w:t xml:space="preserve"> метода именно в этом случае тем больше, чем больше число производителей входит в такую гомогенную группу</w:t>
      </w:r>
      <w:r w:rsidR="00DB0051">
        <w:rPr>
          <w:rFonts w:ascii="Times New Roman" w:hAnsi="Times New Roman"/>
          <w:sz w:val="24"/>
          <w:szCs w:val="24"/>
          <w:lang w:val="ru-RU"/>
        </w:rPr>
        <w:t>, поскольку установление единого уровня платы (налога) требует минимальных затрат</w:t>
      </w:r>
      <w:r w:rsidR="00C111D6">
        <w:rPr>
          <w:rFonts w:ascii="Times New Roman" w:hAnsi="Times New Roman"/>
          <w:sz w:val="24"/>
          <w:szCs w:val="24"/>
          <w:lang w:val="ru-RU"/>
        </w:rPr>
        <w:t xml:space="preserve">. </w:t>
      </w:r>
    </w:p>
    <w:p w:rsidR="00F31876" w:rsidRDefault="00D16AB0" w:rsidP="00B03864">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Но даже </w:t>
      </w:r>
      <w:proofErr w:type="gramStart"/>
      <w:r>
        <w:rPr>
          <w:rFonts w:ascii="Times New Roman" w:hAnsi="Times New Roman"/>
          <w:sz w:val="24"/>
          <w:szCs w:val="24"/>
          <w:lang w:val="ru-RU"/>
        </w:rPr>
        <w:t>при том</w:t>
      </w:r>
      <w:proofErr w:type="gramEnd"/>
      <w:r>
        <w:rPr>
          <w:rFonts w:ascii="Times New Roman" w:hAnsi="Times New Roman"/>
          <w:sz w:val="24"/>
          <w:szCs w:val="24"/>
          <w:lang w:val="ru-RU"/>
        </w:rPr>
        <w:t>, что общий объем выпуска продукции в таком случае будет производиться по наименьшей себестоимости, это совсем не означает оптимизации объемов производства, и даже в этом случае может потребоваться индивидуальное квотирование производителей</w:t>
      </w:r>
      <w:r w:rsidR="000C39F8">
        <w:rPr>
          <w:rFonts w:ascii="Times New Roman" w:hAnsi="Times New Roman"/>
          <w:sz w:val="24"/>
          <w:szCs w:val="24"/>
          <w:lang w:val="ru-RU"/>
        </w:rPr>
        <w:t xml:space="preserve"> или квотирование общего объема производства для всей группы</w:t>
      </w:r>
      <w:r>
        <w:rPr>
          <w:rFonts w:ascii="Times New Roman" w:hAnsi="Times New Roman"/>
          <w:sz w:val="24"/>
          <w:szCs w:val="24"/>
          <w:lang w:val="ru-RU"/>
        </w:rPr>
        <w:t>.</w:t>
      </w:r>
      <w:r w:rsidR="000C39F8">
        <w:rPr>
          <w:rFonts w:ascii="Times New Roman" w:hAnsi="Times New Roman"/>
          <w:sz w:val="24"/>
          <w:szCs w:val="24"/>
          <w:lang w:val="ru-RU"/>
        </w:rPr>
        <w:t xml:space="preserve"> А это опять возвращает к вопросу о ценовом или количественном механизме перераспределении объемов внутри такой группы.</w:t>
      </w:r>
    </w:p>
    <w:p w:rsidR="00EC1512" w:rsidRDefault="00793DEC" w:rsidP="000A7473">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Исследования отдельных проблем продолжались и продолжаются, например, таких как сравнение поведенческих моделей участников рынка электроэнергии при налогообложении выбросов и при системе торговли</w:t>
      </w:r>
      <w:r w:rsidR="00B03864">
        <w:rPr>
          <w:rFonts w:ascii="Times New Roman" w:hAnsi="Times New Roman"/>
          <w:sz w:val="24"/>
          <w:szCs w:val="24"/>
          <w:lang w:val="ru-RU"/>
        </w:rPr>
        <w:t xml:space="preserve"> выбросами</w:t>
      </w:r>
      <w:r>
        <w:rPr>
          <w:rFonts w:ascii="Times New Roman" w:hAnsi="Times New Roman"/>
          <w:sz w:val="24"/>
          <w:szCs w:val="24"/>
          <w:lang w:val="ru-RU"/>
        </w:rPr>
        <w:t>; или рыночных рисков производителей электроэнергии при той и другой системе.</w:t>
      </w:r>
      <w:r w:rsidR="00B7165D">
        <w:rPr>
          <w:rFonts w:ascii="Times New Roman" w:hAnsi="Times New Roman"/>
          <w:sz w:val="24"/>
          <w:szCs w:val="24"/>
          <w:lang w:val="ru-RU"/>
        </w:rPr>
        <w:t xml:space="preserve"> Например, </w:t>
      </w:r>
      <w:r w:rsidR="00DE586B">
        <w:rPr>
          <w:rFonts w:ascii="Times New Roman" w:hAnsi="Times New Roman"/>
          <w:sz w:val="24"/>
          <w:szCs w:val="24"/>
          <w:lang w:val="ru-RU"/>
        </w:rPr>
        <w:t xml:space="preserve">установлено, что </w:t>
      </w:r>
      <w:r w:rsidR="00B7165D">
        <w:rPr>
          <w:rFonts w:ascii="Times New Roman" w:hAnsi="Times New Roman"/>
          <w:sz w:val="24"/>
          <w:szCs w:val="24"/>
          <w:lang w:val="ru-RU"/>
        </w:rPr>
        <w:t>рыночные риски атомной энергетики при введении налогообложения выбросов существенно ниже рисков тепловой энергетики</w:t>
      </w:r>
      <w:r w:rsidR="00DE586B">
        <w:rPr>
          <w:rFonts w:ascii="Times New Roman" w:hAnsi="Times New Roman"/>
          <w:sz w:val="24"/>
          <w:szCs w:val="24"/>
          <w:lang w:val="ru-RU"/>
        </w:rPr>
        <w:t xml:space="preserve"> из-за особенностей ценообразования на исходное топливо</w:t>
      </w:r>
      <w:r w:rsidR="00B7165D">
        <w:rPr>
          <w:rFonts w:ascii="Times New Roman" w:hAnsi="Times New Roman"/>
          <w:sz w:val="24"/>
          <w:szCs w:val="24"/>
          <w:lang w:val="ru-RU"/>
        </w:rPr>
        <w:t>.</w:t>
      </w:r>
    </w:p>
    <w:p w:rsidR="00793DEC" w:rsidRDefault="00793DEC" w:rsidP="000A7473">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Для нас примечательно то, что система административного нормирования выбросов </w:t>
      </w:r>
      <w:r w:rsidR="00DE586B">
        <w:rPr>
          <w:rFonts w:ascii="Times New Roman" w:hAnsi="Times New Roman"/>
          <w:sz w:val="24"/>
          <w:szCs w:val="24"/>
          <w:lang w:val="ru-RU"/>
        </w:rPr>
        <w:t>на этом этапе</w:t>
      </w:r>
      <w:r>
        <w:rPr>
          <w:rFonts w:ascii="Times New Roman" w:hAnsi="Times New Roman"/>
          <w:sz w:val="24"/>
          <w:szCs w:val="24"/>
          <w:lang w:val="ru-RU"/>
        </w:rPr>
        <w:t xml:space="preserve"> </w:t>
      </w:r>
      <w:r w:rsidR="00DE586B">
        <w:rPr>
          <w:rFonts w:ascii="Times New Roman" w:hAnsi="Times New Roman"/>
          <w:sz w:val="24"/>
          <w:szCs w:val="24"/>
          <w:lang w:val="ru-RU"/>
        </w:rPr>
        <w:t xml:space="preserve">уже </w:t>
      </w:r>
      <w:r>
        <w:rPr>
          <w:rFonts w:ascii="Times New Roman" w:hAnsi="Times New Roman"/>
          <w:sz w:val="24"/>
          <w:szCs w:val="24"/>
          <w:lang w:val="ru-RU"/>
        </w:rPr>
        <w:t>даже не рассматривается как альтернатива.</w:t>
      </w:r>
      <w:r w:rsidR="00DE586B">
        <w:rPr>
          <w:rFonts w:ascii="Times New Roman" w:hAnsi="Times New Roman"/>
          <w:sz w:val="24"/>
          <w:szCs w:val="24"/>
          <w:lang w:val="ru-RU"/>
        </w:rPr>
        <w:t xml:space="preserve"> </w:t>
      </w:r>
      <w:r>
        <w:rPr>
          <w:rFonts w:ascii="Times New Roman" w:hAnsi="Times New Roman"/>
          <w:sz w:val="24"/>
          <w:szCs w:val="24"/>
          <w:lang w:val="ru-RU"/>
        </w:rPr>
        <w:t xml:space="preserve"> Сравниваются только механизмы: </w:t>
      </w:r>
      <w:r w:rsidR="00DE586B">
        <w:rPr>
          <w:rFonts w:ascii="Times New Roman" w:hAnsi="Times New Roman"/>
          <w:sz w:val="24"/>
          <w:szCs w:val="24"/>
          <w:lang w:val="ru-RU"/>
        </w:rPr>
        <w:t xml:space="preserve">платы за выбросы, </w:t>
      </w:r>
      <w:r>
        <w:rPr>
          <w:rFonts w:ascii="Times New Roman" w:hAnsi="Times New Roman"/>
          <w:sz w:val="24"/>
          <w:szCs w:val="24"/>
          <w:lang w:val="ru-RU"/>
        </w:rPr>
        <w:t>налогообложени</w:t>
      </w:r>
      <w:r w:rsidR="00B7165D">
        <w:rPr>
          <w:rFonts w:ascii="Times New Roman" w:hAnsi="Times New Roman"/>
          <w:sz w:val="24"/>
          <w:szCs w:val="24"/>
          <w:lang w:val="ru-RU"/>
        </w:rPr>
        <w:t>я</w:t>
      </w:r>
      <w:r w:rsidR="00DE586B">
        <w:rPr>
          <w:rFonts w:ascii="Times New Roman" w:hAnsi="Times New Roman"/>
          <w:sz w:val="24"/>
          <w:szCs w:val="24"/>
          <w:lang w:val="ru-RU"/>
        </w:rPr>
        <w:t>, с одной стороны,</w:t>
      </w:r>
      <w:r>
        <w:rPr>
          <w:rFonts w:ascii="Times New Roman" w:hAnsi="Times New Roman"/>
          <w:sz w:val="24"/>
          <w:szCs w:val="24"/>
          <w:lang w:val="ru-RU"/>
        </w:rPr>
        <w:t xml:space="preserve"> и квотировани</w:t>
      </w:r>
      <w:r w:rsidR="00B7165D">
        <w:rPr>
          <w:rFonts w:ascii="Times New Roman" w:hAnsi="Times New Roman"/>
          <w:sz w:val="24"/>
          <w:szCs w:val="24"/>
          <w:lang w:val="ru-RU"/>
        </w:rPr>
        <w:t>я</w:t>
      </w:r>
      <w:r>
        <w:rPr>
          <w:rFonts w:ascii="Times New Roman" w:hAnsi="Times New Roman"/>
          <w:sz w:val="24"/>
          <w:szCs w:val="24"/>
          <w:lang w:val="ru-RU"/>
        </w:rPr>
        <w:t xml:space="preserve"> и торговл</w:t>
      </w:r>
      <w:r w:rsidR="00B7165D">
        <w:rPr>
          <w:rFonts w:ascii="Times New Roman" w:hAnsi="Times New Roman"/>
          <w:sz w:val="24"/>
          <w:szCs w:val="24"/>
          <w:lang w:val="ru-RU"/>
        </w:rPr>
        <w:t>и разрешениями</w:t>
      </w:r>
      <w:r w:rsidR="00DE586B">
        <w:rPr>
          <w:rFonts w:ascii="Times New Roman" w:hAnsi="Times New Roman"/>
          <w:sz w:val="24"/>
          <w:szCs w:val="24"/>
          <w:lang w:val="ru-RU"/>
        </w:rPr>
        <w:t>, с другой</w:t>
      </w:r>
      <w:r>
        <w:rPr>
          <w:rFonts w:ascii="Times New Roman" w:hAnsi="Times New Roman"/>
          <w:sz w:val="24"/>
          <w:szCs w:val="24"/>
          <w:lang w:val="ru-RU"/>
        </w:rPr>
        <w:t>.</w:t>
      </w:r>
    </w:p>
    <w:p w:rsidR="00B85FA0" w:rsidRDefault="00764B49" w:rsidP="00D87BB9">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конц</w:t>
      </w:r>
      <w:r w:rsidR="00BD3BB6">
        <w:rPr>
          <w:rFonts w:ascii="Times New Roman" w:hAnsi="Times New Roman"/>
          <w:sz w:val="24"/>
          <w:szCs w:val="24"/>
          <w:lang w:val="ru-RU"/>
        </w:rPr>
        <w:t>е</w:t>
      </w:r>
      <w:r>
        <w:rPr>
          <w:rFonts w:ascii="Times New Roman" w:hAnsi="Times New Roman"/>
          <w:sz w:val="24"/>
          <w:szCs w:val="24"/>
          <w:lang w:val="ru-RU"/>
        </w:rPr>
        <w:t xml:space="preserve"> 80-х годов в США сенаторы Т. </w:t>
      </w:r>
      <w:proofErr w:type="spellStart"/>
      <w:r>
        <w:rPr>
          <w:rFonts w:ascii="Times New Roman" w:hAnsi="Times New Roman"/>
          <w:sz w:val="24"/>
          <w:szCs w:val="24"/>
          <w:lang w:val="ru-RU"/>
        </w:rPr>
        <w:t>Вирс</w:t>
      </w:r>
      <w:proofErr w:type="spellEnd"/>
      <w:r>
        <w:rPr>
          <w:rFonts w:ascii="Times New Roman" w:hAnsi="Times New Roman"/>
          <w:sz w:val="24"/>
          <w:szCs w:val="24"/>
          <w:lang w:val="ru-RU"/>
        </w:rPr>
        <w:t xml:space="preserve"> и </w:t>
      </w:r>
      <w:proofErr w:type="gramStart"/>
      <w:r>
        <w:rPr>
          <w:rFonts w:ascii="Times New Roman" w:hAnsi="Times New Roman"/>
          <w:sz w:val="24"/>
          <w:szCs w:val="24"/>
          <w:lang w:val="ru-RU"/>
        </w:rPr>
        <w:t>Дж</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Райнц</w:t>
      </w:r>
      <w:proofErr w:type="spellEnd"/>
      <w:r>
        <w:rPr>
          <w:rFonts w:ascii="Times New Roman" w:hAnsi="Times New Roman"/>
          <w:sz w:val="24"/>
          <w:szCs w:val="24"/>
          <w:lang w:val="ru-RU"/>
        </w:rPr>
        <w:t xml:space="preserve"> инициировали т.н. «Проект 88</w:t>
      </w:r>
      <w:r w:rsidRPr="00764B49">
        <w:rPr>
          <w:rFonts w:ascii="Times New Roman" w:hAnsi="Times New Roman"/>
          <w:sz w:val="24"/>
          <w:szCs w:val="24"/>
          <w:lang w:val="ru-RU"/>
        </w:rPr>
        <w:t xml:space="preserve">: </w:t>
      </w:r>
      <w:r>
        <w:rPr>
          <w:rFonts w:ascii="Times New Roman" w:hAnsi="Times New Roman"/>
          <w:sz w:val="24"/>
          <w:szCs w:val="24"/>
          <w:lang w:val="ru-RU"/>
        </w:rPr>
        <w:t>Мобилизуя силы рынка на защиту нашей окружающей среды – инициативы для нового Президента»</w:t>
      </w:r>
      <w:r w:rsidR="005C3B40">
        <w:rPr>
          <w:rFonts w:ascii="Times New Roman" w:hAnsi="Times New Roman"/>
          <w:sz w:val="24"/>
          <w:szCs w:val="24"/>
          <w:lang w:val="ru-RU"/>
        </w:rPr>
        <w:t>,</w:t>
      </w:r>
      <w:r>
        <w:rPr>
          <w:rStyle w:val="ad"/>
          <w:rFonts w:ascii="Times New Roman" w:hAnsi="Times New Roman"/>
          <w:sz w:val="24"/>
          <w:szCs w:val="24"/>
          <w:lang w:val="ru-RU"/>
        </w:rPr>
        <w:footnoteReference w:id="38"/>
      </w:r>
      <w:r w:rsidR="005C3B40">
        <w:rPr>
          <w:rFonts w:ascii="Times New Roman" w:hAnsi="Times New Roman"/>
          <w:sz w:val="24"/>
          <w:szCs w:val="24"/>
          <w:lang w:val="ru-RU"/>
        </w:rPr>
        <w:t xml:space="preserve"> в ходе реализации которой был предложен диверсифицированный набор рыночных инструментов для решения основных 13 проблем охраны окружающей среды и природопользования. При этом</w:t>
      </w:r>
      <w:r w:rsidR="00EB7F99">
        <w:rPr>
          <w:rFonts w:ascii="Times New Roman" w:hAnsi="Times New Roman"/>
          <w:sz w:val="24"/>
          <w:szCs w:val="24"/>
          <w:lang w:val="ru-RU"/>
        </w:rPr>
        <w:t xml:space="preserve"> Фонд защиты природы (</w:t>
      </w:r>
      <w:r w:rsidR="00EB7F99" w:rsidRPr="007232FD">
        <w:rPr>
          <w:rFonts w:ascii="Times New Roman" w:hAnsi="Times New Roman"/>
          <w:sz w:val="24"/>
          <w:szCs w:val="24"/>
        </w:rPr>
        <w:t>Environmental</w:t>
      </w:r>
      <w:r w:rsidR="00EB7F99" w:rsidRPr="00EB7F99">
        <w:rPr>
          <w:rFonts w:ascii="Times New Roman" w:hAnsi="Times New Roman"/>
          <w:sz w:val="24"/>
          <w:szCs w:val="24"/>
          <w:lang w:val="ru-RU"/>
        </w:rPr>
        <w:t xml:space="preserve"> </w:t>
      </w:r>
      <w:r w:rsidR="00EB7F99" w:rsidRPr="007232FD">
        <w:rPr>
          <w:rFonts w:ascii="Times New Roman" w:hAnsi="Times New Roman"/>
          <w:sz w:val="24"/>
          <w:szCs w:val="24"/>
        </w:rPr>
        <w:t>Defense</w:t>
      </w:r>
      <w:r w:rsidR="00EB7F99" w:rsidRPr="00EB7F99">
        <w:rPr>
          <w:rFonts w:ascii="Times New Roman" w:hAnsi="Times New Roman"/>
          <w:sz w:val="24"/>
          <w:szCs w:val="24"/>
          <w:lang w:val="ru-RU"/>
        </w:rPr>
        <w:t xml:space="preserve"> </w:t>
      </w:r>
      <w:r w:rsidR="00EB7F99" w:rsidRPr="007232FD">
        <w:rPr>
          <w:rFonts w:ascii="Times New Roman" w:hAnsi="Times New Roman"/>
          <w:sz w:val="24"/>
          <w:szCs w:val="24"/>
        </w:rPr>
        <w:t>Fund</w:t>
      </w:r>
      <w:r w:rsidR="00EB7F99">
        <w:rPr>
          <w:rFonts w:ascii="Times New Roman" w:hAnsi="Times New Roman"/>
          <w:sz w:val="24"/>
          <w:szCs w:val="24"/>
          <w:lang w:val="ru-RU"/>
        </w:rPr>
        <w:t xml:space="preserve">) отдельно поддерживал разработку будущей программы </w:t>
      </w:r>
      <w:r w:rsidR="00EB7F99">
        <w:rPr>
          <w:rFonts w:ascii="Times New Roman" w:hAnsi="Times New Roman"/>
          <w:sz w:val="24"/>
          <w:szCs w:val="24"/>
          <w:lang w:val="ru-RU"/>
        </w:rPr>
        <w:lastRenderedPageBreak/>
        <w:t>торговли разрешениями на выбросы окислов серы. Для выбора наилучшего способа решения каждой из 13 проблем были предложены 9 основных критериев:</w:t>
      </w:r>
    </w:p>
    <w:p w:rsidR="00EB7F99" w:rsidRDefault="00EB7F99"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Способность эффективно достичь поставленных экологических целей;</w:t>
      </w:r>
    </w:p>
    <w:p w:rsidR="00EB7F99" w:rsidRDefault="00BF6033"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Максимально возможная оптимизация затрат;</w:t>
      </w:r>
    </w:p>
    <w:p w:rsidR="00BF6033" w:rsidRDefault="00DE586B"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Возможность о</w:t>
      </w:r>
      <w:r w:rsidR="00BF6033">
        <w:rPr>
          <w:rFonts w:ascii="Times New Roman" w:hAnsi="Times New Roman"/>
          <w:sz w:val="24"/>
          <w:szCs w:val="24"/>
          <w:lang w:val="ru-RU"/>
        </w:rPr>
        <w:t>беспечени</w:t>
      </w:r>
      <w:r>
        <w:rPr>
          <w:rFonts w:ascii="Times New Roman" w:hAnsi="Times New Roman"/>
          <w:sz w:val="24"/>
          <w:szCs w:val="24"/>
          <w:lang w:val="ru-RU"/>
        </w:rPr>
        <w:t>я</w:t>
      </w:r>
      <w:r w:rsidR="00BF6033">
        <w:rPr>
          <w:rFonts w:ascii="Times New Roman" w:hAnsi="Times New Roman"/>
          <w:sz w:val="24"/>
          <w:szCs w:val="24"/>
          <w:lang w:val="ru-RU"/>
        </w:rPr>
        <w:t xml:space="preserve"> соответствующих государственных ведомств адекватной информацией;</w:t>
      </w:r>
    </w:p>
    <w:p w:rsidR="00BF6033" w:rsidRDefault="00BF6033"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Затраты на мониторинг и обеспечение исполнения;</w:t>
      </w:r>
    </w:p>
    <w:p w:rsidR="00BF6033" w:rsidRDefault="00BF6033"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Гибкость при изменении технологий, ресурсов и проч.;</w:t>
      </w:r>
    </w:p>
    <w:p w:rsidR="00BF6033" w:rsidRDefault="00BF6033"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Способность создавать позитивные и динамичные стимулы;</w:t>
      </w:r>
    </w:p>
    <w:p w:rsidR="00AD0235" w:rsidRDefault="00AD0235"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Справедливость распределения экономических результатов;</w:t>
      </w:r>
    </w:p>
    <w:p w:rsidR="00AD0235" w:rsidRDefault="00AD0235"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Понятность для широкой общественности;</w:t>
      </w:r>
    </w:p>
    <w:p w:rsidR="00AD0235" w:rsidRPr="00EB7F99" w:rsidRDefault="00AD0235" w:rsidP="00EB7F99">
      <w:pPr>
        <w:numPr>
          <w:ilvl w:val="0"/>
          <w:numId w:val="13"/>
        </w:numPr>
        <w:spacing w:after="120" w:line="240" w:lineRule="auto"/>
        <w:jc w:val="both"/>
        <w:rPr>
          <w:rFonts w:ascii="Times New Roman" w:hAnsi="Times New Roman"/>
          <w:sz w:val="24"/>
          <w:szCs w:val="24"/>
          <w:lang w:val="ru-RU"/>
        </w:rPr>
      </w:pPr>
      <w:r>
        <w:rPr>
          <w:rFonts w:ascii="Times New Roman" w:hAnsi="Times New Roman"/>
          <w:sz w:val="24"/>
          <w:szCs w:val="24"/>
          <w:lang w:val="ru-RU"/>
        </w:rPr>
        <w:t>Реалистичность с точки зрения нормативно-правового обеспечения и практического исполнения;</w:t>
      </w:r>
    </w:p>
    <w:p w:rsidR="00AD0235" w:rsidRDefault="00AD0235" w:rsidP="00B85FA0">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В результате по каждой из проблем был выработан набор конкретных рекомендаций. Так для проблемы изменения климата рекомендации сводились </w:t>
      </w:r>
      <w:proofErr w:type="gramStart"/>
      <w:r>
        <w:rPr>
          <w:rFonts w:ascii="Times New Roman" w:hAnsi="Times New Roman"/>
          <w:sz w:val="24"/>
          <w:szCs w:val="24"/>
          <w:lang w:val="ru-RU"/>
        </w:rPr>
        <w:t>к</w:t>
      </w:r>
      <w:proofErr w:type="gramEnd"/>
      <w:r>
        <w:rPr>
          <w:rFonts w:ascii="Times New Roman" w:hAnsi="Times New Roman"/>
          <w:sz w:val="24"/>
          <w:szCs w:val="24"/>
          <w:lang w:val="ru-RU"/>
        </w:rPr>
        <w:t xml:space="preserve"> следующим:</w:t>
      </w:r>
    </w:p>
    <w:p w:rsidR="00B85FA0" w:rsidRDefault="00F323FE" w:rsidP="00AD0235">
      <w:pPr>
        <w:numPr>
          <w:ilvl w:val="0"/>
          <w:numId w:val="14"/>
        </w:numPr>
        <w:spacing w:after="120" w:line="240" w:lineRule="auto"/>
        <w:jc w:val="both"/>
        <w:rPr>
          <w:rFonts w:ascii="Times New Roman" w:hAnsi="Times New Roman"/>
          <w:sz w:val="24"/>
          <w:szCs w:val="24"/>
          <w:lang w:val="ru-RU"/>
        </w:rPr>
      </w:pPr>
      <w:r>
        <w:rPr>
          <w:rFonts w:ascii="Times New Roman" w:hAnsi="Times New Roman"/>
          <w:sz w:val="24"/>
          <w:szCs w:val="24"/>
          <w:lang w:val="ru-RU"/>
        </w:rPr>
        <w:t>Прямые исследования основных стратегических вариантов предотвращения и адаптации;</w:t>
      </w:r>
    </w:p>
    <w:p w:rsidR="00F323FE" w:rsidRDefault="00F323FE" w:rsidP="00AD0235">
      <w:pPr>
        <w:numPr>
          <w:ilvl w:val="0"/>
          <w:numId w:val="14"/>
        </w:numPr>
        <w:spacing w:after="120" w:line="240" w:lineRule="auto"/>
        <w:jc w:val="both"/>
        <w:rPr>
          <w:rFonts w:ascii="Times New Roman" w:hAnsi="Times New Roman"/>
          <w:sz w:val="24"/>
          <w:szCs w:val="24"/>
          <w:lang w:val="ru-RU"/>
        </w:rPr>
      </w:pPr>
      <w:r>
        <w:rPr>
          <w:rFonts w:ascii="Times New Roman" w:hAnsi="Times New Roman"/>
          <w:sz w:val="24"/>
          <w:szCs w:val="24"/>
          <w:lang w:val="ru-RU"/>
        </w:rPr>
        <w:t>Стимулирование энергоэффективности и перехода на альтернативные виды топлива;</w:t>
      </w:r>
    </w:p>
    <w:p w:rsidR="00F323FE" w:rsidRDefault="00F323FE" w:rsidP="00AD0235">
      <w:pPr>
        <w:numPr>
          <w:ilvl w:val="0"/>
          <w:numId w:val="14"/>
        </w:numPr>
        <w:spacing w:after="120" w:line="240" w:lineRule="auto"/>
        <w:jc w:val="both"/>
        <w:rPr>
          <w:rFonts w:ascii="Times New Roman" w:hAnsi="Times New Roman"/>
          <w:sz w:val="24"/>
          <w:szCs w:val="24"/>
          <w:lang w:val="ru-RU"/>
        </w:rPr>
      </w:pPr>
      <w:r>
        <w:rPr>
          <w:rFonts w:ascii="Times New Roman" w:hAnsi="Times New Roman"/>
          <w:sz w:val="24"/>
          <w:szCs w:val="24"/>
          <w:lang w:val="ru-RU"/>
        </w:rPr>
        <w:t>Компенсация новых источников парниковых выбросов;</w:t>
      </w:r>
    </w:p>
    <w:p w:rsidR="00F323FE" w:rsidRDefault="00F323FE" w:rsidP="00AD0235">
      <w:pPr>
        <w:numPr>
          <w:ilvl w:val="0"/>
          <w:numId w:val="14"/>
        </w:numPr>
        <w:spacing w:after="120" w:line="240" w:lineRule="auto"/>
        <w:jc w:val="both"/>
        <w:rPr>
          <w:rFonts w:ascii="Times New Roman" w:hAnsi="Times New Roman"/>
          <w:sz w:val="24"/>
          <w:szCs w:val="24"/>
          <w:lang w:val="ru-RU"/>
        </w:rPr>
      </w:pPr>
      <w:r>
        <w:rPr>
          <w:rFonts w:ascii="Times New Roman" w:hAnsi="Times New Roman"/>
          <w:sz w:val="24"/>
          <w:szCs w:val="24"/>
          <w:lang w:val="ru-RU"/>
        </w:rPr>
        <w:t>Предотвращение уничтожения тропических лесов путем предложения свопов «долг – леса» наименее развитым странам;</w:t>
      </w:r>
    </w:p>
    <w:p w:rsidR="00F323FE" w:rsidRDefault="00F323FE" w:rsidP="00AD0235">
      <w:pPr>
        <w:numPr>
          <w:ilvl w:val="0"/>
          <w:numId w:val="14"/>
        </w:numPr>
        <w:spacing w:after="120" w:line="240" w:lineRule="auto"/>
        <w:jc w:val="both"/>
        <w:rPr>
          <w:rFonts w:ascii="Times New Roman" w:hAnsi="Times New Roman"/>
          <w:sz w:val="24"/>
          <w:szCs w:val="24"/>
          <w:lang w:val="ru-RU"/>
        </w:rPr>
      </w:pPr>
      <w:r>
        <w:rPr>
          <w:rFonts w:ascii="Times New Roman" w:hAnsi="Times New Roman"/>
          <w:sz w:val="24"/>
          <w:szCs w:val="24"/>
          <w:lang w:val="ru-RU"/>
        </w:rPr>
        <w:t>Международная торговля парниковыми выбросами;</w:t>
      </w:r>
    </w:p>
    <w:p w:rsidR="00F323FE" w:rsidRPr="00AD0235" w:rsidRDefault="00F323FE" w:rsidP="00AD0235">
      <w:pPr>
        <w:numPr>
          <w:ilvl w:val="0"/>
          <w:numId w:val="14"/>
        </w:numPr>
        <w:spacing w:after="120" w:line="240" w:lineRule="auto"/>
        <w:jc w:val="both"/>
        <w:rPr>
          <w:rFonts w:ascii="Times New Roman" w:hAnsi="Times New Roman"/>
          <w:sz w:val="24"/>
          <w:szCs w:val="24"/>
          <w:lang w:val="ru-RU"/>
        </w:rPr>
      </w:pPr>
      <w:r>
        <w:rPr>
          <w:rFonts w:ascii="Times New Roman" w:hAnsi="Times New Roman"/>
          <w:sz w:val="24"/>
          <w:szCs w:val="24"/>
          <w:lang w:val="ru-RU"/>
        </w:rPr>
        <w:t>Совершенствование демографической политики.</w:t>
      </w:r>
    </w:p>
    <w:p w:rsidR="00B85FA0" w:rsidRDefault="00BD3BB6" w:rsidP="00D87BB9">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Для проблемы регионального загрязнения атмосферы рекомендации сводились к введению рынка разрешений на выбросы для стационарных источников и ужесточению требований и усилению стимулов для мобильных источник</w:t>
      </w:r>
      <w:r w:rsidR="008514D4">
        <w:rPr>
          <w:rFonts w:ascii="Times New Roman" w:hAnsi="Times New Roman"/>
          <w:sz w:val="24"/>
          <w:szCs w:val="24"/>
          <w:lang w:val="ru-RU"/>
        </w:rPr>
        <w:t>ов (транспорта), а по проблеме «кислотных дожде» лишь к реализации соответствующей программы торговли кредитами на выбросы.</w:t>
      </w:r>
    </w:p>
    <w:p w:rsidR="001B0453" w:rsidRDefault="001B0453" w:rsidP="00D87BB9">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Именно при Президенте США Дж. Буше–ст. </w:t>
      </w:r>
      <w:r w:rsidR="0013034D">
        <w:rPr>
          <w:rFonts w:ascii="Times New Roman" w:hAnsi="Times New Roman"/>
          <w:sz w:val="24"/>
          <w:szCs w:val="24"/>
          <w:lang w:val="ru-RU"/>
        </w:rPr>
        <w:t>была изначально сформулирована</w:t>
      </w:r>
      <w:r>
        <w:rPr>
          <w:rFonts w:ascii="Times New Roman" w:hAnsi="Times New Roman"/>
          <w:sz w:val="24"/>
          <w:szCs w:val="24"/>
          <w:lang w:val="ru-RU"/>
        </w:rPr>
        <w:t xml:space="preserve"> концепция, которая в 1997 г. легла в основу Киотского протокола</w:t>
      </w:r>
      <w:r w:rsidR="00DE586B">
        <w:rPr>
          <w:rFonts w:ascii="Times New Roman" w:hAnsi="Times New Roman"/>
          <w:sz w:val="24"/>
          <w:szCs w:val="24"/>
          <w:lang w:val="ru-RU"/>
        </w:rPr>
        <w:t xml:space="preserve"> (см. пункт 5 выше)</w:t>
      </w:r>
      <w:r>
        <w:rPr>
          <w:rFonts w:ascii="Times New Roman" w:hAnsi="Times New Roman"/>
          <w:sz w:val="24"/>
          <w:szCs w:val="24"/>
          <w:lang w:val="ru-RU"/>
        </w:rPr>
        <w:t>, но по иронии истории Президент Дж. Буш-мл</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о</w:t>
      </w:r>
      <w:proofErr w:type="gramEnd"/>
      <w:r>
        <w:rPr>
          <w:rFonts w:ascii="Times New Roman" w:hAnsi="Times New Roman"/>
          <w:sz w:val="24"/>
          <w:szCs w:val="24"/>
          <w:lang w:val="ru-RU"/>
        </w:rPr>
        <w:t>тказался от участия в нем.</w:t>
      </w:r>
    </w:p>
    <w:p w:rsidR="00770F7E" w:rsidRDefault="008F24DC" w:rsidP="00D87BB9">
      <w:pPr>
        <w:spacing w:after="120" w:line="240" w:lineRule="auto"/>
        <w:ind w:firstLine="567"/>
        <w:jc w:val="both"/>
        <w:rPr>
          <w:rFonts w:ascii="Times New Roman" w:hAnsi="Times New Roman"/>
          <w:sz w:val="24"/>
          <w:szCs w:val="24"/>
          <w:lang w:val="ru-RU"/>
        </w:rPr>
      </w:pPr>
      <w:r w:rsidRPr="00D87BB9">
        <w:rPr>
          <w:rFonts w:ascii="Times New Roman" w:hAnsi="Times New Roman"/>
          <w:sz w:val="24"/>
          <w:szCs w:val="24"/>
          <w:lang w:val="ru-RU"/>
        </w:rPr>
        <w:t xml:space="preserve">Сравнительный анализ парникового налогообложения (ведения налога на парниковые </w:t>
      </w:r>
      <w:r w:rsidR="00D87BB9">
        <w:rPr>
          <w:rFonts w:ascii="Times New Roman" w:hAnsi="Times New Roman"/>
          <w:sz w:val="24"/>
          <w:szCs w:val="24"/>
          <w:lang w:val="ru-RU"/>
        </w:rPr>
        <w:t>выбросы</w:t>
      </w:r>
      <w:r w:rsidRPr="00D87BB9">
        <w:rPr>
          <w:rFonts w:ascii="Times New Roman" w:hAnsi="Times New Roman"/>
          <w:sz w:val="24"/>
          <w:szCs w:val="24"/>
          <w:lang w:val="ru-RU"/>
        </w:rPr>
        <w:t>) и рыночного</w:t>
      </w:r>
      <w:r w:rsidRPr="008F24DC">
        <w:rPr>
          <w:rFonts w:ascii="Times New Roman" w:hAnsi="Times New Roman"/>
          <w:sz w:val="24"/>
          <w:szCs w:val="24"/>
          <w:lang w:val="ru-RU"/>
        </w:rPr>
        <w:t xml:space="preserve"> регулирования показывает </w:t>
      </w:r>
      <w:r w:rsidR="008F3C68">
        <w:rPr>
          <w:rFonts w:ascii="Times New Roman" w:hAnsi="Times New Roman"/>
          <w:sz w:val="24"/>
          <w:szCs w:val="24"/>
          <w:lang w:val="ru-RU"/>
        </w:rPr>
        <w:t>много</w:t>
      </w:r>
      <w:r w:rsidRPr="008F24DC">
        <w:rPr>
          <w:rFonts w:ascii="Times New Roman" w:hAnsi="Times New Roman"/>
          <w:sz w:val="24"/>
          <w:szCs w:val="24"/>
          <w:lang w:val="ru-RU"/>
        </w:rPr>
        <w:t xml:space="preserve"> существенных преимуществ последнего: от оптимизации затрат на достижение экологических показателей до стимулирования инвестиций в повышение энергоэффективности, энергосбережение, модернизацию в </w:t>
      </w:r>
      <w:r w:rsidR="00D87BB9" w:rsidRPr="008F24DC">
        <w:rPr>
          <w:rFonts w:ascii="Times New Roman" w:hAnsi="Times New Roman"/>
          <w:sz w:val="24"/>
          <w:szCs w:val="24"/>
          <w:lang w:val="ru-RU"/>
        </w:rPr>
        <w:t>качестве</w:t>
      </w:r>
      <w:r w:rsidRPr="008F24DC">
        <w:rPr>
          <w:rFonts w:ascii="Times New Roman" w:hAnsi="Times New Roman"/>
          <w:sz w:val="24"/>
          <w:szCs w:val="24"/>
          <w:lang w:val="ru-RU"/>
        </w:rPr>
        <w:t xml:space="preserve"> </w:t>
      </w:r>
      <w:r w:rsidR="00D87BB9" w:rsidRPr="008F24DC">
        <w:rPr>
          <w:rFonts w:ascii="Times New Roman" w:hAnsi="Times New Roman"/>
          <w:sz w:val="24"/>
          <w:szCs w:val="24"/>
          <w:lang w:val="ru-RU"/>
        </w:rPr>
        <w:t>вынужденной</w:t>
      </w:r>
      <w:r w:rsidRPr="008F24DC">
        <w:rPr>
          <w:rFonts w:ascii="Times New Roman" w:hAnsi="Times New Roman"/>
          <w:sz w:val="24"/>
          <w:szCs w:val="24"/>
          <w:lang w:val="ru-RU"/>
        </w:rPr>
        <w:t xml:space="preserve"> меры хеджирования рыночных риско</w:t>
      </w:r>
      <w:r w:rsidR="0013034D">
        <w:rPr>
          <w:rFonts w:ascii="Times New Roman" w:hAnsi="Times New Roman"/>
          <w:sz w:val="24"/>
          <w:szCs w:val="24"/>
          <w:lang w:val="ru-RU"/>
        </w:rPr>
        <w:t>в.</w:t>
      </w:r>
      <w:r w:rsidR="00D87BB9">
        <w:rPr>
          <w:rStyle w:val="ad"/>
          <w:rFonts w:ascii="Times New Roman" w:hAnsi="Times New Roman"/>
          <w:sz w:val="24"/>
          <w:szCs w:val="24"/>
          <w:lang w:val="ru-RU"/>
        </w:rPr>
        <w:footnoteReference w:id="39"/>
      </w:r>
      <w:r w:rsidR="00770F7E">
        <w:rPr>
          <w:rFonts w:ascii="Times New Roman" w:hAnsi="Times New Roman"/>
          <w:sz w:val="24"/>
          <w:szCs w:val="24"/>
          <w:lang w:val="ru-RU"/>
        </w:rPr>
        <w:t xml:space="preserve"> Казалось бы, с точки зрения управления рисками фиксированное налогообложение выбросов лучше неопределенностей рынка. Но именно при рыночном регулировании цен на выбросы возникает необходимость проводить активную политику управления рисками, что ведет к улучшению результирующих экологических показателей. </w:t>
      </w:r>
    </w:p>
    <w:p w:rsidR="00770F7E" w:rsidRDefault="008F24DC" w:rsidP="00D87BB9">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lastRenderedPageBreak/>
        <w:t xml:space="preserve">Два главных преимущества обязательных систем рыночного регулирования, квотирования и торговли (cap-and-trade) заключаются в том, что, во-первых, обеспечивается определенность конечного результата вне зависимости от появления новых участников рынка или производственной деятельности участников и, во-вторых, конечный результат достигается наиболее экономичным способом. </w:t>
      </w:r>
    </w:p>
    <w:p w:rsidR="008F24DC" w:rsidRPr="008F24DC" w:rsidRDefault="008F24DC" w:rsidP="00D87BB9">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Разработка и внедрение экономических инструментов ограничения выбросов парниковых газов предусмотрена Комплексным планом Правительства по реализации Климатической доктрины.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Выполнение этой задачи создаст условия для того, чтобы Российская Федерация могла самостоятельно и, исходя из своих интересов, осуществлять климатическую политику, контроль и регулирование парниковых выбросов и самостоятельно формировать инструменты и стимулы повышения экологической и энергетической эффективности и управлять ими.  </w:t>
      </w:r>
    </w:p>
    <w:p w:rsid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Рынки парниковых квот и кредитов растут и будут расти вне зависимости от принятия нового международного соглашения, если не на </w:t>
      </w:r>
      <w:proofErr w:type="gramStart"/>
      <w:r w:rsidRPr="008F24DC">
        <w:rPr>
          <w:rFonts w:ascii="Times New Roman" w:hAnsi="Times New Roman"/>
          <w:sz w:val="24"/>
          <w:szCs w:val="24"/>
          <w:lang w:val="ru-RU"/>
        </w:rPr>
        <w:t>глобальном</w:t>
      </w:r>
      <w:proofErr w:type="gramEnd"/>
      <w:r w:rsidRPr="008F24DC">
        <w:rPr>
          <w:rFonts w:ascii="Times New Roman" w:hAnsi="Times New Roman"/>
          <w:sz w:val="24"/>
          <w:szCs w:val="24"/>
          <w:lang w:val="ru-RU"/>
        </w:rPr>
        <w:t xml:space="preserve">, то на национальных, региональных уровнях. </w:t>
      </w:r>
      <w:r w:rsidR="00423C7B">
        <w:rPr>
          <w:rFonts w:ascii="Times New Roman" w:hAnsi="Times New Roman"/>
          <w:sz w:val="24"/>
          <w:szCs w:val="24"/>
          <w:lang w:val="ru-RU"/>
        </w:rPr>
        <w:t xml:space="preserve">Квоты и кредиты на выбросы как рыночный товар </w:t>
      </w:r>
      <w:r w:rsidRPr="008F24DC">
        <w:rPr>
          <w:rFonts w:ascii="Times New Roman" w:hAnsi="Times New Roman"/>
          <w:sz w:val="24"/>
          <w:szCs w:val="24"/>
          <w:lang w:val="ru-RU"/>
        </w:rPr>
        <w:t>(при условии соблюдения высоких стандартов его качества) имеет универсальный характер и пользуется универсальным спросом, благодаря чему обособление этих рынков невозможно, а взаимопроникновение неизбежно. Потенциал России в производстве и экспорте этого товара вне конкуренции при условии перехода от пассивно-оборонительной тактики, к агрессивной рыночной стратегии, основанной на построении строгого и прозрачного внутреннего механизма.</w:t>
      </w:r>
    </w:p>
    <w:p w:rsidR="00770F7E" w:rsidRDefault="00770F7E"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Таким образом, </w:t>
      </w:r>
      <w:r w:rsidR="00FD78D5">
        <w:rPr>
          <w:rFonts w:ascii="Times New Roman" w:hAnsi="Times New Roman"/>
          <w:sz w:val="24"/>
          <w:szCs w:val="24"/>
          <w:lang w:val="ru-RU"/>
        </w:rPr>
        <w:t>с развитием экономической мысли шла постепенная эволюция: от административного механизма предписания, кто, где и сколько может выбрасывать загрязняющих веществ, к административному механизму назначения платы и штрафов за загрязнения, к налогообложению выбросов, а затем и обратно к количественному подходу, но уже основанному на рыночных механизмах.</w:t>
      </w:r>
    </w:p>
    <w:p w:rsidR="00E97E24" w:rsidRPr="008F24DC" w:rsidRDefault="00E97E24"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При этом исходная первичная модель, основанная на техническом предписании, технических стандартах, ограниченном мониторинге выполнения технических требований хотя и эффективна во многих случаях, но представляет собой самую первую ступень эволюции систем контроля выбросов.</w:t>
      </w:r>
    </w:p>
    <w:p w:rsidR="00641FAD" w:rsidRDefault="00641FAD" w:rsidP="00641FAD">
      <w:pPr>
        <w:spacing w:after="120" w:line="240" w:lineRule="auto"/>
        <w:rPr>
          <w:rFonts w:ascii="Times New Roman" w:hAnsi="Times New Roman"/>
          <w:b/>
          <w:i/>
          <w:sz w:val="24"/>
          <w:szCs w:val="24"/>
          <w:lang w:val="ru-RU"/>
        </w:rPr>
      </w:pPr>
    </w:p>
    <w:p w:rsidR="008F24DC" w:rsidRPr="00641FAD" w:rsidRDefault="00D00A09" w:rsidP="00641FAD">
      <w:pPr>
        <w:spacing w:after="120" w:line="240" w:lineRule="auto"/>
        <w:rPr>
          <w:rFonts w:ascii="Times New Roman" w:hAnsi="Times New Roman"/>
          <w:b/>
          <w:i/>
          <w:sz w:val="24"/>
          <w:szCs w:val="24"/>
          <w:lang w:val="ru-RU"/>
        </w:rPr>
      </w:pPr>
      <w:r>
        <w:rPr>
          <w:rFonts w:ascii="Times New Roman" w:hAnsi="Times New Roman"/>
          <w:b/>
          <w:i/>
          <w:sz w:val="24"/>
          <w:szCs w:val="24"/>
          <w:lang w:val="ru-RU"/>
        </w:rPr>
        <w:t>Первый о</w:t>
      </w:r>
      <w:r w:rsidR="008F24DC" w:rsidRPr="00641FAD">
        <w:rPr>
          <w:rFonts w:ascii="Times New Roman" w:hAnsi="Times New Roman"/>
          <w:b/>
          <w:i/>
          <w:sz w:val="24"/>
          <w:szCs w:val="24"/>
          <w:lang w:val="ru-RU"/>
        </w:rPr>
        <w:t>пыт создания систем</w:t>
      </w:r>
      <w:r>
        <w:rPr>
          <w:rFonts w:ascii="Times New Roman" w:hAnsi="Times New Roman"/>
          <w:b/>
          <w:i/>
          <w:sz w:val="24"/>
          <w:szCs w:val="24"/>
          <w:lang w:val="ru-RU"/>
        </w:rPr>
        <w:t>ы</w:t>
      </w:r>
      <w:r w:rsidR="008F24DC" w:rsidRPr="00641FAD">
        <w:rPr>
          <w:rFonts w:ascii="Times New Roman" w:hAnsi="Times New Roman"/>
          <w:b/>
          <w:i/>
          <w:sz w:val="24"/>
          <w:szCs w:val="24"/>
          <w:lang w:val="ru-RU"/>
        </w:rPr>
        <w:t xml:space="preserve"> рыночного регулирования атмосферных эмиссий</w:t>
      </w:r>
    </w:p>
    <w:p w:rsidR="008F24DC" w:rsidRPr="008F24DC" w:rsidRDefault="00FD78D5"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w:t>
      </w:r>
      <w:r w:rsidR="008F24DC" w:rsidRPr="008F24DC">
        <w:rPr>
          <w:rFonts w:ascii="Times New Roman" w:hAnsi="Times New Roman"/>
          <w:sz w:val="24"/>
          <w:szCs w:val="24"/>
          <w:lang w:val="ru-RU"/>
        </w:rPr>
        <w:t>ервый опыт создания системы торговли атмосферными выбросами</w:t>
      </w:r>
      <w:r w:rsidRPr="00FD78D5">
        <w:rPr>
          <w:rFonts w:ascii="Times New Roman" w:hAnsi="Times New Roman"/>
          <w:sz w:val="24"/>
          <w:szCs w:val="24"/>
          <w:lang w:val="ru-RU"/>
        </w:rPr>
        <w:t xml:space="preserve"> </w:t>
      </w:r>
      <w:r>
        <w:rPr>
          <w:rFonts w:ascii="Times New Roman" w:hAnsi="Times New Roman"/>
          <w:sz w:val="24"/>
          <w:szCs w:val="24"/>
          <w:lang w:val="ru-RU"/>
        </w:rPr>
        <w:t xml:space="preserve">в </w:t>
      </w:r>
      <w:r w:rsidRPr="008F24DC">
        <w:rPr>
          <w:rFonts w:ascii="Times New Roman" w:hAnsi="Times New Roman"/>
          <w:sz w:val="24"/>
          <w:szCs w:val="24"/>
          <w:lang w:val="ru-RU"/>
        </w:rPr>
        <w:t>США</w:t>
      </w:r>
      <w:r w:rsidR="00E97E24">
        <w:rPr>
          <w:rFonts w:ascii="Times New Roman" w:hAnsi="Times New Roman"/>
          <w:sz w:val="24"/>
          <w:szCs w:val="24"/>
          <w:lang w:val="ru-RU"/>
        </w:rPr>
        <w:t xml:space="preserve"> схематично осуществлялся следующими этапами:</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1976 – Административный эксперимент введения политики компенсации лимитов эмиссии (Emissions off-set policy)</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1977 – В результате эксперимента нормативное закрепление требования компенсации (offset requirement) в Законе о чистом воздухе (Clean Air Act)</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1978 –Запуск экспериментов по торговле эмиссиями в ряде городов (Чикаго, Бостон, Филадельфия)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1983 – На основе требования компенсации лимитов эмиссии сформулировано Постановление о политике торговли эмиссиями (Emissions Trading Policy Statement)</w:t>
      </w:r>
    </w:p>
    <w:p w:rsid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1990 – На основе требования компенсации ограничений на выбросы введена нормативно-правовая база торговли квотами на выбросы </w:t>
      </w:r>
      <w:proofErr w:type="spellStart"/>
      <w:r w:rsidRPr="008F24DC">
        <w:rPr>
          <w:rFonts w:ascii="Times New Roman" w:hAnsi="Times New Roman"/>
          <w:sz w:val="24"/>
          <w:szCs w:val="24"/>
          <w:lang w:val="ru-RU"/>
        </w:rPr>
        <w:t>SOx</w:t>
      </w:r>
      <w:proofErr w:type="spellEnd"/>
      <w:r w:rsidRPr="008F24DC">
        <w:rPr>
          <w:rFonts w:ascii="Times New Roman" w:hAnsi="Times New Roman"/>
          <w:sz w:val="24"/>
          <w:szCs w:val="24"/>
          <w:lang w:val="ru-RU"/>
        </w:rPr>
        <w:t xml:space="preserve">, </w:t>
      </w:r>
      <w:proofErr w:type="spellStart"/>
      <w:r w:rsidRPr="008F24DC">
        <w:rPr>
          <w:rFonts w:ascii="Times New Roman" w:hAnsi="Times New Roman"/>
          <w:sz w:val="24"/>
          <w:szCs w:val="24"/>
          <w:lang w:val="ru-RU"/>
        </w:rPr>
        <w:t>NOx</w:t>
      </w:r>
      <w:proofErr w:type="spellEnd"/>
      <w:r w:rsidRPr="008F24DC">
        <w:rPr>
          <w:rFonts w:ascii="Times New Roman" w:hAnsi="Times New Roman"/>
          <w:sz w:val="24"/>
          <w:szCs w:val="24"/>
          <w:lang w:val="ru-RU"/>
        </w:rPr>
        <w:t>, запущена программа «Кислотные дожди».</w:t>
      </w:r>
    </w:p>
    <w:p w:rsidR="001F1540" w:rsidRDefault="00E97E24"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В самом общем виде развитие системы прошло два главных этапа: </w:t>
      </w:r>
    </w:p>
    <w:p w:rsidR="00DD3B0D" w:rsidRDefault="00DD3B0D"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Н</w:t>
      </w:r>
      <w:r w:rsidR="00E97E24">
        <w:rPr>
          <w:rFonts w:ascii="Times New Roman" w:hAnsi="Times New Roman"/>
          <w:sz w:val="24"/>
          <w:szCs w:val="24"/>
          <w:lang w:val="ru-RU"/>
        </w:rPr>
        <w:t xml:space="preserve">а первом этапе </w:t>
      </w:r>
    </w:p>
    <w:p w:rsidR="00DD3B0D" w:rsidRDefault="00DD3B0D" w:rsidP="003E1D7D">
      <w:pPr>
        <w:numPr>
          <w:ilvl w:val="0"/>
          <w:numId w:val="18"/>
        </w:numPr>
        <w:spacing w:after="120" w:line="240" w:lineRule="auto"/>
        <w:jc w:val="both"/>
        <w:rPr>
          <w:rFonts w:ascii="Times New Roman" w:hAnsi="Times New Roman"/>
          <w:sz w:val="24"/>
          <w:szCs w:val="24"/>
          <w:lang w:val="ru-RU"/>
        </w:rPr>
      </w:pPr>
      <w:r>
        <w:rPr>
          <w:rFonts w:ascii="Times New Roman" w:hAnsi="Times New Roman"/>
          <w:sz w:val="24"/>
          <w:szCs w:val="24"/>
          <w:lang w:val="ru-RU"/>
        </w:rPr>
        <w:t>вводило</w:t>
      </w:r>
      <w:r w:rsidR="001F1540">
        <w:rPr>
          <w:rFonts w:ascii="Times New Roman" w:hAnsi="Times New Roman"/>
          <w:sz w:val="24"/>
          <w:szCs w:val="24"/>
          <w:lang w:val="ru-RU"/>
        </w:rPr>
        <w:t xml:space="preserve">сь </w:t>
      </w:r>
      <w:r>
        <w:rPr>
          <w:rFonts w:ascii="Times New Roman" w:hAnsi="Times New Roman"/>
          <w:sz w:val="24"/>
          <w:szCs w:val="24"/>
          <w:lang w:val="ru-RU"/>
        </w:rPr>
        <w:t>требование</w:t>
      </w:r>
      <w:r w:rsidR="001F1540">
        <w:rPr>
          <w:rFonts w:ascii="Times New Roman" w:hAnsi="Times New Roman"/>
          <w:sz w:val="24"/>
          <w:szCs w:val="24"/>
          <w:lang w:val="ru-RU"/>
        </w:rPr>
        <w:t xml:space="preserve"> использова</w:t>
      </w:r>
      <w:r>
        <w:rPr>
          <w:rFonts w:ascii="Times New Roman" w:hAnsi="Times New Roman"/>
          <w:sz w:val="24"/>
          <w:szCs w:val="24"/>
          <w:lang w:val="ru-RU"/>
        </w:rPr>
        <w:t>ть</w:t>
      </w:r>
      <w:r w:rsidR="001F1540">
        <w:rPr>
          <w:rFonts w:ascii="Times New Roman" w:hAnsi="Times New Roman"/>
          <w:sz w:val="24"/>
          <w:szCs w:val="24"/>
          <w:lang w:val="ru-RU"/>
        </w:rPr>
        <w:t xml:space="preserve"> компенсационных кредитов как условия запуска нового источника выбросов; </w:t>
      </w:r>
    </w:p>
    <w:p w:rsidR="00DD3B0D" w:rsidRDefault="00DD3B0D" w:rsidP="003E1D7D">
      <w:pPr>
        <w:numPr>
          <w:ilvl w:val="0"/>
          <w:numId w:val="18"/>
        </w:numPr>
        <w:spacing w:after="120" w:line="240" w:lineRule="auto"/>
        <w:jc w:val="both"/>
        <w:rPr>
          <w:rFonts w:ascii="Times New Roman" w:hAnsi="Times New Roman"/>
          <w:sz w:val="24"/>
          <w:szCs w:val="24"/>
          <w:lang w:val="ru-RU"/>
        </w:rPr>
      </w:pPr>
      <w:r>
        <w:rPr>
          <w:rFonts w:ascii="Times New Roman" w:hAnsi="Times New Roman"/>
          <w:sz w:val="24"/>
          <w:szCs w:val="24"/>
          <w:lang w:val="ru-RU"/>
        </w:rPr>
        <w:t xml:space="preserve">предоставлялось право </w:t>
      </w:r>
      <w:r w:rsidR="001F1540">
        <w:rPr>
          <w:rFonts w:ascii="Times New Roman" w:hAnsi="Times New Roman"/>
          <w:sz w:val="24"/>
          <w:szCs w:val="24"/>
          <w:lang w:val="ru-RU"/>
        </w:rPr>
        <w:t>использова</w:t>
      </w:r>
      <w:r>
        <w:rPr>
          <w:rFonts w:ascii="Times New Roman" w:hAnsi="Times New Roman"/>
          <w:sz w:val="24"/>
          <w:szCs w:val="24"/>
          <w:lang w:val="ru-RU"/>
        </w:rPr>
        <w:t>ть</w:t>
      </w:r>
      <w:r w:rsidR="001F1540">
        <w:rPr>
          <w:rFonts w:ascii="Times New Roman" w:hAnsi="Times New Roman"/>
          <w:sz w:val="24"/>
          <w:szCs w:val="24"/>
          <w:lang w:val="ru-RU"/>
        </w:rPr>
        <w:t xml:space="preserve"> кредит</w:t>
      </w:r>
      <w:r>
        <w:rPr>
          <w:rFonts w:ascii="Times New Roman" w:hAnsi="Times New Roman"/>
          <w:sz w:val="24"/>
          <w:szCs w:val="24"/>
          <w:lang w:val="ru-RU"/>
        </w:rPr>
        <w:t>ы на выбросы</w:t>
      </w:r>
      <w:r w:rsidR="001F1540">
        <w:rPr>
          <w:rFonts w:ascii="Times New Roman" w:hAnsi="Times New Roman"/>
          <w:sz w:val="24"/>
          <w:szCs w:val="24"/>
          <w:lang w:val="ru-RU"/>
        </w:rPr>
        <w:t xml:space="preserve"> для покрытия</w:t>
      </w:r>
      <w:r>
        <w:rPr>
          <w:rFonts w:ascii="Times New Roman" w:hAnsi="Times New Roman"/>
          <w:sz w:val="24"/>
          <w:szCs w:val="24"/>
          <w:lang w:val="ru-RU"/>
        </w:rPr>
        <w:t xml:space="preserve"> их</w:t>
      </w:r>
      <w:r w:rsidR="001F1540">
        <w:rPr>
          <w:rFonts w:ascii="Times New Roman" w:hAnsi="Times New Roman"/>
          <w:sz w:val="24"/>
          <w:szCs w:val="24"/>
          <w:lang w:val="ru-RU"/>
        </w:rPr>
        <w:t xml:space="preserve"> избытка;</w:t>
      </w:r>
    </w:p>
    <w:p w:rsidR="00DD3B0D" w:rsidRDefault="001F1540" w:rsidP="003E1D7D">
      <w:pPr>
        <w:numPr>
          <w:ilvl w:val="0"/>
          <w:numId w:val="18"/>
        </w:numPr>
        <w:spacing w:after="120" w:line="240" w:lineRule="auto"/>
        <w:jc w:val="both"/>
        <w:rPr>
          <w:rFonts w:ascii="Times New Roman" w:hAnsi="Times New Roman"/>
          <w:sz w:val="24"/>
          <w:szCs w:val="24"/>
          <w:lang w:val="ru-RU"/>
        </w:rPr>
      </w:pPr>
      <w:r>
        <w:rPr>
          <w:rFonts w:ascii="Times New Roman" w:hAnsi="Times New Roman"/>
          <w:sz w:val="24"/>
          <w:szCs w:val="24"/>
          <w:lang w:val="ru-RU"/>
        </w:rPr>
        <w:t>осуществлялся принцип «купола», при котором устанавливался лимит для группы источников</w:t>
      </w:r>
      <w:r w:rsidR="00DD3B0D">
        <w:rPr>
          <w:rFonts w:ascii="Times New Roman" w:hAnsi="Times New Roman"/>
          <w:sz w:val="24"/>
          <w:szCs w:val="24"/>
          <w:lang w:val="ru-RU"/>
        </w:rPr>
        <w:t xml:space="preserve"> вне зависимости от объемов их индивидуальных выбросов.</w:t>
      </w:r>
    </w:p>
    <w:p w:rsidR="00DD3B0D" w:rsidRDefault="00DD3B0D"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При этом вмешательство регулирующего органа требовалось для предотвращения выпуска «бумажных кредитов», зачета в качестве кредитов </w:t>
      </w:r>
      <w:r w:rsidR="003E1D7D">
        <w:rPr>
          <w:rFonts w:ascii="Times New Roman" w:hAnsi="Times New Roman"/>
          <w:sz w:val="24"/>
          <w:szCs w:val="24"/>
          <w:lang w:val="ru-RU"/>
        </w:rPr>
        <w:t>нецеленаправленных сокращений, предотвращения экстремальных загрязнений.</w:t>
      </w:r>
    </w:p>
    <w:p w:rsidR="00E178A3" w:rsidRDefault="003E1D7D"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На втором вводилась система квотирования и торговли </w:t>
      </w:r>
      <w:r w:rsidRPr="003E1D7D">
        <w:rPr>
          <w:rFonts w:ascii="Times New Roman" w:hAnsi="Times New Roman"/>
          <w:sz w:val="24"/>
          <w:szCs w:val="24"/>
          <w:lang w:val="ru-RU"/>
        </w:rPr>
        <w:t>(</w:t>
      </w:r>
      <w:r>
        <w:rPr>
          <w:rFonts w:ascii="Times New Roman" w:hAnsi="Times New Roman"/>
          <w:sz w:val="24"/>
          <w:szCs w:val="24"/>
        </w:rPr>
        <w:t>cap</w:t>
      </w:r>
      <w:r w:rsidRPr="003E1D7D">
        <w:rPr>
          <w:rFonts w:ascii="Times New Roman" w:hAnsi="Times New Roman"/>
          <w:sz w:val="24"/>
          <w:szCs w:val="24"/>
          <w:lang w:val="ru-RU"/>
        </w:rPr>
        <w:t>-</w:t>
      </w:r>
      <w:r>
        <w:rPr>
          <w:rFonts w:ascii="Times New Roman" w:hAnsi="Times New Roman"/>
          <w:sz w:val="24"/>
          <w:szCs w:val="24"/>
        </w:rPr>
        <w:t>n</w:t>
      </w:r>
      <w:r w:rsidRPr="003E1D7D">
        <w:rPr>
          <w:rFonts w:ascii="Times New Roman" w:hAnsi="Times New Roman"/>
          <w:sz w:val="24"/>
          <w:szCs w:val="24"/>
          <w:lang w:val="ru-RU"/>
        </w:rPr>
        <w:t>-</w:t>
      </w:r>
      <w:r>
        <w:rPr>
          <w:rFonts w:ascii="Times New Roman" w:hAnsi="Times New Roman"/>
          <w:sz w:val="24"/>
          <w:szCs w:val="24"/>
        </w:rPr>
        <w:t>trade</w:t>
      </w:r>
      <w:r w:rsidRPr="003E1D7D">
        <w:rPr>
          <w:rFonts w:ascii="Times New Roman" w:hAnsi="Times New Roman"/>
          <w:sz w:val="24"/>
          <w:szCs w:val="24"/>
          <w:lang w:val="ru-RU"/>
        </w:rPr>
        <w:t>)</w:t>
      </w:r>
      <w:r>
        <w:rPr>
          <w:rFonts w:ascii="Times New Roman" w:hAnsi="Times New Roman"/>
          <w:sz w:val="24"/>
          <w:szCs w:val="24"/>
          <w:lang w:val="ru-RU"/>
        </w:rPr>
        <w:t>, которая принципиально меняла модель</w:t>
      </w:r>
      <w:r w:rsidR="009A0EC9">
        <w:rPr>
          <w:rFonts w:ascii="Times New Roman" w:hAnsi="Times New Roman"/>
          <w:sz w:val="24"/>
          <w:szCs w:val="24"/>
          <w:lang w:val="ru-RU"/>
        </w:rPr>
        <w:t>,</w:t>
      </w:r>
      <w:r w:rsidR="009129E9">
        <w:rPr>
          <w:rFonts w:ascii="Times New Roman" w:hAnsi="Times New Roman"/>
          <w:sz w:val="24"/>
          <w:szCs w:val="24"/>
          <w:lang w:val="ru-RU"/>
        </w:rPr>
        <w:t xml:space="preserve"> она не могла быть создана лишь как надстройка  ни к традиционной модели, ни к модели, основанной на компенсационных кредитах, </w:t>
      </w:r>
      <w:r w:rsidR="009A0EC9">
        <w:rPr>
          <w:rFonts w:ascii="Times New Roman" w:hAnsi="Times New Roman"/>
          <w:sz w:val="24"/>
          <w:szCs w:val="24"/>
          <w:lang w:val="ru-RU"/>
        </w:rPr>
        <w:t xml:space="preserve"> и</w:t>
      </w:r>
      <w:r w:rsidR="00E178A3">
        <w:rPr>
          <w:rFonts w:ascii="Times New Roman" w:hAnsi="Times New Roman"/>
          <w:sz w:val="24"/>
          <w:szCs w:val="24"/>
          <w:lang w:val="ru-RU"/>
        </w:rPr>
        <w:t xml:space="preserve"> требовала создания целостной комплексной инфраструктуры нового рынка.</w:t>
      </w:r>
      <w:r w:rsidR="009A0EC9">
        <w:rPr>
          <w:rFonts w:ascii="Times New Roman" w:hAnsi="Times New Roman"/>
          <w:sz w:val="24"/>
          <w:szCs w:val="24"/>
          <w:lang w:val="ru-RU"/>
        </w:rPr>
        <w:t xml:space="preserve"> </w:t>
      </w:r>
      <w:r w:rsidR="009129E9">
        <w:rPr>
          <w:rFonts w:ascii="Times New Roman" w:hAnsi="Times New Roman"/>
          <w:sz w:val="24"/>
          <w:szCs w:val="24"/>
          <w:lang w:val="ru-RU"/>
        </w:rPr>
        <w:t>Но преимущества ее были настолько велики, что оправдали все затраты и усилия.</w:t>
      </w:r>
    </w:p>
    <w:p w:rsidR="00B021B7" w:rsidRDefault="00B021B7"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Эти преимущества в общих чертах заключались в следующем: </w:t>
      </w:r>
    </w:p>
    <w:p w:rsidR="00B021B7" w:rsidRDefault="00B021B7" w:rsidP="00330EC6">
      <w:pPr>
        <w:numPr>
          <w:ilvl w:val="0"/>
          <w:numId w:val="19"/>
        </w:numPr>
        <w:spacing w:after="120" w:line="240" w:lineRule="auto"/>
        <w:jc w:val="both"/>
        <w:rPr>
          <w:rFonts w:ascii="Times New Roman" w:hAnsi="Times New Roman"/>
          <w:sz w:val="24"/>
          <w:szCs w:val="24"/>
          <w:lang w:val="ru-RU"/>
        </w:rPr>
      </w:pPr>
      <w:r>
        <w:rPr>
          <w:rFonts w:ascii="Times New Roman" w:hAnsi="Times New Roman"/>
          <w:sz w:val="24"/>
          <w:szCs w:val="24"/>
          <w:lang w:val="ru-RU"/>
        </w:rPr>
        <w:t>возникали стимулы для инноваций, ранних сокращений, снижения затрат;</w:t>
      </w:r>
    </w:p>
    <w:p w:rsidR="00B021B7" w:rsidRDefault="00B021B7" w:rsidP="00330EC6">
      <w:pPr>
        <w:numPr>
          <w:ilvl w:val="0"/>
          <w:numId w:val="19"/>
        </w:numPr>
        <w:spacing w:after="120" w:line="240" w:lineRule="auto"/>
        <w:jc w:val="both"/>
        <w:rPr>
          <w:rFonts w:ascii="Times New Roman" w:hAnsi="Times New Roman"/>
          <w:sz w:val="24"/>
          <w:szCs w:val="24"/>
          <w:lang w:val="ru-RU"/>
        </w:rPr>
      </w:pPr>
      <w:r>
        <w:rPr>
          <w:rFonts w:ascii="Times New Roman" w:hAnsi="Times New Roman"/>
          <w:sz w:val="24"/>
          <w:szCs w:val="24"/>
          <w:lang w:val="ru-RU"/>
        </w:rPr>
        <w:t>достигалась уверенность в конечном результате;</w:t>
      </w:r>
    </w:p>
    <w:p w:rsidR="00B021B7" w:rsidRDefault="00931D3B" w:rsidP="00330EC6">
      <w:pPr>
        <w:numPr>
          <w:ilvl w:val="0"/>
          <w:numId w:val="19"/>
        </w:numPr>
        <w:spacing w:after="120" w:line="240" w:lineRule="auto"/>
        <w:jc w:val="both"/>
        <w:rPr>
          <w:rFonts w:ascii="Times New Roman" w:hAnsi="Times New Roman"/>
          <w:sz w:val="24"/>
          <w:szCs w:val="24"/>
          <w:lang w:val="ru-RU"/>
        </w:rPr>
      </w:pPr>
      <w:r>
        <w:rPr>
          <w:rFonts w:ascii="Times New Roman" w:hAnsi="Times New Roman"/>
          <w:sz w:val="24"/>
          <w:szCs w:val="24"/>
          <w:lang w:val="ru-RU"/>
        </w:rPr>
        <w:t>обеспечивался больший уровень уверенности в нормативном регулировании, гибкости в достижении показателей, минимальный уровень затрат для участников;</w:t>
      </w:r>
    </w:p>
    <w:p w:rsidR="00931D3B" w:rsidRDefault="00931D3B" w:rsidP="00330EC6">
      <w:pPr>
        <w:numPr>
          <w:ilvl w:val="0"/>
          <w:numId w:val="19"/>
        </w:numPr>
        <w:spacing w:after="120" w:line="240" w:lineRule="auto"/>
        <w:jc w:val="both"/>
        <w:rPr>
          <w:rFonts w:ascii="Times New Roman" w:hAnsi="Times New Roman"/>
          <w:sz w:val="24"/>
          <w:szCs w:val="24"/>
          <w:lang w:val="ru-RU"/>
        </w:rPr>
      </w:pPr>
      <w:r>
        <w:rPr>
          <w:rFonts w:ascii="Times New Roman" w:hAnsi="Times New Roman"/>
          <w:sz w:val="24"/>
          <w:szCs w:val="24"/>
          <w:lang w:val="ru-RU"/>
        </w:rPr>
        <w:t xml:space="preserve">требовалось меньше ресурсов для обеспечения действия </w:t>
      </w:r>
      <w:proofErr w:type="gramStart"/>
      <w:r>
        <w:rPr>
          <w:rFonts w:ascii="Times New Roman" w:hAnsi="Times New Roman"/>
          <w:sz w:val="24"/>
          <w:szCs w:val="24"/>
          <w:lang w:val="ru-RU"/>
        </w:rPr>
        <w:t>системы</w:t>
      </w:r>
      <w:proofErr w:type="gramEnd"/>
      <w:r>
        <w:rPr>
          <w:rFonts w:ascii="Times New Roman" w:hAnsi="Times New Roman"/>
          <w:sz w:val="24"/>
          <w:szCs w:val="24"/>
          <w:lang w:val="ru-RU"/>
        </w:rPr>
        <w:t xml:space="preserve"> как со стороны участников, так и со стороны регулирующих органов, которым в принципе требовалось лишь распределить квоты и </w:t>
      </w:r>
      <w:r w:rsidR="00330EC6">
        <w:rPr>
          <w:rFonts w:ascii="Times New Roman" w:hAnsi="Times New Roman"/>
          <w:sz w:val="24"/>
          <w:szCs w:val="24"/>
          <w:lang w:val="ru-RU"/>
        </w:rPr>
        <w:t>следить за их соблюдением, не отвлекаясь на отдельные действия отдельных участников</w:t>
      </w:r>
      <w:r>
        <w:rPr>
          <w:rFonts w:ascii="Times New Roman" w:hAnsi="Times New Roman"/>
          <w:sz w:val="24"/>
          <w:szCs w:val="24"/>
          <w:lang w:val="ru-RU"/>
        </w:rPr>
        <w:t>;</w:t>
      </w:r>
    </w:p>
    <w:p w:rsidR="00330EC6" w:rsidRDefault="00330EC6" w:rsidP="00330EC6">
      <w:pPr>
        <w:numPr>
          <w:ilvl w:val="0"/>
          <w:numId w:val="19"/>
        </w:numPr>
        <w:spacing w:after="120" w:line="240" w:lineRule="auto"/>
        <w:jc w:val="both"/>
        <w:rPr>
          <w:rFonts w:ascii="Times New Roman" w:hAnsi="Times New Roman"/>
          <w:sz w:val="24"/>
          <w:szCs w:val="24"/>
          <w:lang w:val="ru-RU"/>
        </w:rPr>
      </w:pPr>
      <w:r>
        <w:rPr>
          <w:rFonts w:ascii="Times New Roman" w:hAnsi="Times New Roman"/>
          <w:sz w:val="24"/>
          <w:szCs w:val="24"/>
          <w:lang w:val="ru-RU"/>
        </w:rPr>
        <w:t>не исключалась возможность параллельного применения и других механизмов;</w:t>
      </w:r>
    </w:p>
    <w:p w:rsidR="00330EC6" w:rsidRDefault="00330EC6" w:rsidP="00330EC6">
      <w:pPr>
        <w:numPr>
          <w:ilvl w:val="0"/>
          <w:numId w:val="19"/>
        </w:numPr>
        <w:spacing w:after="120" w:line="240" w:lineRule="auto"/>
        <w:jc w:val="both"/>
        <w:rPr>
          <w:rFonts w:ascii="Times New Roman" w:hAnsi="Times New Roman"/>
          <w:sz w:val="24"/>
          <w:szCs w:val="24"/>
          <w:lang w:val="ru-RU"/>
        </w:rPr>
      </w:pPr>
      <w:r>
        <w:rPr>
          <w:rFonts w:ascii="Times New Roman" w:hAnsi="Times New Roman"/>
          <w:sz w:val="24"/>
          <w:szCs w:val="24"/>
          <w:lang w:val="ru-RU"/>
        </w:rPr>
        <w:t>экономия средств на функционирование системы позволяла планировать и осуществлять дальнейшие улучшения системы.</w:t>
      </w:r>
    </w:p>
    <w:p w:rsidR="0030352F" w:rsidRDefault="0030352F"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Для того</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чтобы система начала функционировать требовалось создать нормативные основы, распределить квоты, определить допустимые временные рамки для сокращений, фактически передать разрешения на выбросы.</w:t>
      </w:r>
    </w:p>
    <w:p w:rsidR="00931D3B" w:rsidRDefault="0030352F"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процессе квотирования для каждого участника рынка учитывалась доля на рынке, возможность создания экологических стимулов, технологическая эффективность.</w:t>
      </w:r>
      <w:r w:rsidR="00CA249A">
        <w:rPr>
          <w:rFonts w:ascii="Times New Roman" w:hAnsi="Times New Roman"/>
          <w:sz w:val="24"/>
          <w:szCs w:val="24"/>
          <w:lang w:val="ru-RU"/>
        </w:rPr>
        <w:t xml:space="preserve"> При этом абсолютное большинство участников стремилось получить такую квоту, которая позволяла бы сохранить существующий объем производства с возможностью или создать резерв, или кредиты. </w:t>
      </w:r>
      <w:r>
        <w:rPr>
          <w:rFonts w:ascii="Times New Roman" w:hAnsi="Times New Roman"/>
          <w:sz w:val="24"/>
          <w:szCs w:val="24"/>
          <w:lang w:val="ru-RU"/>
        </w:rPr>
        <w:t xml:space="preserve"> </w:t>
      </w:r>
    </w:p>
    <w:p w:rsidR="009A0EC9" w:rsidRDefault="009A0EC9"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Квотирование могло осуществляться на принципах </w:t>
      </w:r>
      <w:proofErr w:type="spellStart"/>
      <w:r>
        <w:rPr>
          <w:rFonts w:ascii="Times New Roman" w:hAnsi="Times New Roman"/>
          <w:sz w:val="24"/>
          <w:szCs w:val="24"/>
          <w:lang w:val="ru-RU"/>
        </w:rPr>
        <w:t>аукционирования</w:t>
      </w:r>
      <w:proofErr w:type="spellEnd"/>
      <w:r>
        <w:rPr>
          <w:rFonts w:ascii="Times New Roman" w:hAnsi="Times New Roman"/>
          <w:sz w:val="24"/>
          <w:szCs w:val="24"/>
          <w:lang w:val="ru-RU"/>
        </w:rPr>
        <w:t>, наследования, гибридных схемах.</w:t>
      </w:r>
      <w:r w:rsidR="00DF20A2">
        <w:rPr>
          <w:rFonts w:ascii="Times New Roman" w:hAnsi="Times New Roman"/>
          <w:sz w:val="24"/>
          <w:szCs w:val="24"/>
          <w:lang w:val="ru-RU"/>
        </w:rPr>
        <w:t xml:space="preserve"> Ни один из вариантов не идеален.</w:t>
      </w:r>
      <w:r>
        <w:rPr>
          <w:rFonts w:ascii="Times New Roman" w:hAnsi="Times New Roman"/>
          <w:sz w:val="24"/>
          <w:szCs w:val="24"/>
          <w:lang w:val="ru-RU"/>
        </w:rPr>
        <w:t xml:space="preserve"> При этом </w:t>
      </w:r>
      <w:r w:rsidR="00CA249A">
        <w:rPr>
          <w:rFonts w:ascii="Times New Roman" w:hAnsi="Times New Roman"/>
          <w:sz w:val="24"/>
          <w:szCs w:val="24"/>
          <w:lang w:val="ru-RU"/>
        </w:rPr>
        <w:t xml:space="preserve">необходимо было найти баланс между определенностью заданных результатов и готовностью </w:t>
      </w:r>
      <w:r w:rsidR="00DF20A2">
        <w:rPr>
          <w:rFonts w:ascii="Times New Roman" w:hAnsi="Times New Roman"/>
          <w:sz w:val="24"/>
          <w:szCs w:val="24"/>
          <w:lang w:val="ru-RU"/>
        </w:rPr>
        <w:t>к возможным изменениям на рынке,</w:t>
      </w:r>
      <w:r w:rsidR="00CA249A">
        <w:rPr>
          <w:rFonts w:ascii="Times New Roman" w:hAnsi="Times New Roman"/>
          <w:sz w:val="24"/>
          <w:szCs w:val="24"/>
          <w:lang w:val="ru-RU"/>
        </w:rPr>
        <w:t xml:space="preserve"> </w:t>
      </w:r>
      <w:r w:rsidR="00DF20A2">
        <w:rPr>
          <w:rFonts w:ascii="Times New Roman" w:hAnsi="Times New Roman"/>
          <w:sz w:val="24"/>
          <w:szCs w:val="24"/>
          <w:lang w:val="ru-RU"/>
        </w:rPr>
        <w:t>предусмотреть</w:t>
      </w:r>
      <w:r>
        <w:rPr>
          <w:rFonts w:ascii="Times New Roman" w:hAnsi="Times New Roman"/>
          <w:sz w:val="24"/>
          <w:szCs w:val="24"/>
          <w:lang w:val="ru-RU"/>
        </w:rPr>
        <w:t xml:space="preserve"> резерв для новых участников рынка</w:t>
      </w:r>
      <w:r w:rsidR="00DF20A2">
        <w:rPr>
          <w:rFonts w:ascii="Times New Roman" w:hAnsi="Times New Roman"/>
          <w:sz w:val="24"/>
          <w:szCs w:val="24"/>
          <w:lang w:val="ru-RU"/>
        </w:rPr>
        <w:t xml:space="preserve">, для поощрения участников, для покрытия сертификатами деятельности </w:t>
      </w:r>
      <w:proofErr w:type="spellStart"/>
      <w:r w:rsidR="00DF20A2">
        <w:rPr>
          <w:rFonts w:ascii="Times New Roman" w:hAnsi="Times New Roman"/>
          <w:sz w:val="24"/>
          <w:szCs w:val="24"/>
          <w:lang w:val="ru-RU"/>
        </w:rPr>
        <w:t>ВИЭ</w:t>
      </w:r>
      <w:proofErr w:type="spellEnd"/>
      <w:r w:rsidR="00DF20A2">
        <w:rPr>
          <w:rFonts w:ascii="Times New Roman" w:hAnsi="Times New Roman"/>
          <w:sz w:val="24"/>
          <w:szCs w:val="24"/>
          <w:lang w:val="ru-RU"/>
        </w:rPr>
        <w:t>. Квоты распределялись на несколько лет вперед.</w:t>
      </w:r>
    </w:p>
    <w:p w:rsidR="001564DB" w:rsidRPr="00BE350F" w:rsidRDefault="00DF20A2" w:rsidP="001564DB">
      <w:pPr>
        <w:spacing w:after="120" w:line="240" w:lineRule="auto"/>
        <w:ind w:firstLine="567"/>
        <w:jc w:val="both"/>
        <w:rPr>
          <w:rFonts w:ascii="Times New Roman" w:hAnsi="Times New Roman"/>
          <w:sz w:val="24"/>
          <w:szCs w:val="24"/>
          <w:lang w:val="ru-RU"/>
        </w:rPr>
      </w:pPr>
      <w:proofErr w:type="spellStart"/>
      <w:r>
        <w:rPr>
          <w:rFonts w:ascii="Times New Roman" w:hAnsi="Times New Roman"/>
          <w:sz w:val="24"/>
          <w:szCs w:val="24"/>
          <w:lang w:val="ru-RU"/>
        </w:rPr>
        <w:lastRenderedPageBreak/>
        <w:t>Аукционирование</w:t>
      </w:r>
      <w:proofErr w:type="spellEnd"/>
      <w:r>
        <w:rPr>
          <w:rFonts w:ascii="Times New Roman" w:hAnsi="Times New Roman"/>
          <w:sz w:val="24"/>
          <w:szCs w:val="24"/>
          <w:lang w:val="ru-RU"/>
        </w:rPr>
        <w:t xml:space="preserve"> применялось в ограниченном масштабе</w:t>
      </w:r>
      <w:r w:rsidR="007844BF">
        <w:rPr>
          <w:rFonts w:ascii="Times New Roman" w:hAnsi="Times New Roman"/>
          <w:sz w:val="24"/>
          <w:szCs w:val="24"/>
          <w:lang w:val="ru-RU"/>
        </w:rPr>
        <w:t xml:space="preserve"> в размере примерно 3% квот. Причем Агентство США по охране окружающей среды </w:t>
      </w:r>
      <w:r w:rsidR="007844BF" w:rsidRPr="007844BF">
        <w:rPr>
          <w:rFonts w:ascii="Times New Roman" w:hAnsi="Times New Roman"/>
          <w:sz w:val="24"/>
          <w:szCs w:val="24"/>
          <w:lang w:val="ru-RU"/>
        </w:rPr>
        <w:t>(</w:t>
      </w:r>
      <w:r w:rsidR="007844BF">
        <w:rPr>
          <w:rFonts w:ascii="Times New Roman" w:hAnsi="Times New Roman"/>
          <w:sz w:val="24"/>
          <w:szCs w:val="24"/>
        </w:rPr>
        <w:t>EPA</w:t>
      </w:r>
      <w:r w:rsidR="007844BF" w:rsidRPr="007844BF">
        <w:rPr>
          <w:rFonts w:ascii="Times New Roman" w:hAnsi="Times New Roman"/>
          <w:sz w:val="24"/>
          <w:szCs w:val="24"/>
          <w:lang w:val="ru-RU"/>
        </w:rPr>
        <w:t xml:space="preserve">) </w:t>
      </w:r>
      <w:r w:rsidR="007844BF">
        <w:rPr>
          <w:rFonts w:ascii="Times New Roman" w:hAnsi="Times New Roman"/>
          <w:sz w:val="24"/>
          <w:szCs w:val="24"/>
          <w:lang w:val="ru-RU"/>
        </w:rPr>
        <w:t xml:space="preserve">разработало вариант т.н. «аукциона с нулевой прибылью». Он заключался в том, что из общего объема разрешений удерживается до 3%, которые продавались на аукционе </w:t>
      </w:r>
      <w:proofErr w:type="gramStart"/>
      <w:r w:rsidR="007844BF">
        <w:rPr>
          <w:rFonts w:ascii="Times New Roman" w:hAnsi="Times New Roman"/>
          <w:sz w:val="24"/>
          <w:szCs w:val="24"/>
          <w:lang w:val="ru-RU"/>
        </w:rPr>
        <w:t>предложившим</w:t>
      </w:r>
      <w:proofErr w:type="gramEnd"/>
      <w:r w:rsidR="007844BF">
        <w:rPr>
          <w:rFonts w:ascii="Times New Roman" w:hAnsi="Times New Roman"/>
          <w:sz w:val="24"/>
          <w:szCs w:val="24"/>
          <w:lang w:val="ru-RU"/>
        </w:rPr>
        <w:t xml:space="preserve"> максимальную цену. </w:t>
      </w:r>
      <w:r w:rsidR="00BE350F">
        <w:rPr>
          <w:rFonts w:ascii="Times New Roman" w:hAnsi="Times New Roman"/>
          <w:sz w:val="24"/>
          <w:szCs w:val="24"/>
          <w:lang w:val="ru-RU"/>
        </w:rPr>
        <w:t>Выручка пропорционально возмещалась тем, у кого разрешения были удержаны.</w:t>
      </w:r>
      <w:r w:rsidR="007844BF">
        <w:rPr>
          <w:rFonts w:ascii="Times New Roman" w:hAnsi="Times New Roman"/>
          <w:sz w:val="24"/>
          <w:szCs w:val="24"/>
          <w:lang w:val="ru-RU"/>
        </w:rPr>
        <w:t xml:space="preserve"> </w:t>
      </w:r>
      <w:r w:rsidR="00BE350F">
        <w:rPr>
          <w:rFonts w:ascii="Times New Roman" w:hAnsi="Times New Roman"/>
          <w:sz w:val="24"/>
          <w:szCs w:val="24"/>
          <w:lang w:val="ru-RU"/>
        </w:rPr>
        <w:t>То есть механизм нацелен не на изъятие средств, а на усиление эффективности работы рыночного механизма.</w:t>
      </w:r>
    </w:p>
    <w:p w:rsid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Результатом создания и функционирования системы к 2007 году стало снижение эмиссии регулируемых газов на 50%, по сравнению с 1980 годом. По оценкам, затраты на такое снижение были на 80% меньше, чем в случае традиционного регулирования каждого отдельного источника выбросов. К 2010 г по данным Агентства США по охране окружающей среды благоприятный эффект для здоровья населения в денежном выражении в 40 раз превысил затраты на осуществление программы.</w:t>
      </w:r>
    </w:p>
    <w:p w:rsidR="00D00A09" w:rsidRDefault="00D00A09"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Опыт рыночного регулирования атмосферных выбросов окислов серы и азота в США по своему разнообразию, длительности, результатом можно стал безоговорочно успешным. Применение и развитие этого механизма для региональных газов продолжает развиваться.</w:t>
      </w:r>
    </w:p>
    <w:p w:rsidR="00D00A09" w:rsidRPr="008F24DC" w:rsidRDefault="00D00A09" w:rsidP="008F24DC">
      <w:pPr>
        <w:spacing w:after="120"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В целом сочетание накопленных результатов теоретических исследований и практического опыта применения ры</w:t>
      </w:r>
      <w:r w:rsidR="00C31573">
        <w:rPr>
          <w:rFonts w:ascii="Times New Roman" w:hAnsi="Times New Roman"/>
          <w:sz w:val="24"/>
          <w:szCs w:val="24"/>
          <w:lang w:val="ru-RU"/>
        </w:rPr>
        <w:t>ночных механизмов для регулирования атмосферных эмис</w:t>
      </w:r>
      <w:r w:rsidR="00BD227B">
        <w:rPr>
          <w:rFonts w:ascii="Times New Roman" w:hAnsi="Times New Roman"/>
          <w:sz w:val="24"/>
          <w:szCs w:val="24"/>
          <w:lang w:val="ru-RU"/>
        </w:rPr>
        <w:t>сий составляет надежную основу для оттого, чтобы уверенно выбирать оптимальный вариант в каждом конкретном случае.</w:t>
      </w:r>
      <w:proofErr w:type="gramEnd"/>
    </w:p>
    <w:p w:rsidR="008F24DC" w:rsidRPr="008F24DC" w:rsidRDefault="00BD227B"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контексте международного опыта развития рыночных систем «парникового» регулирования можно выделить;</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1993 – первые экспериментальные «мероприятия, осуществляемые совместно» (Activities Implemented Jointly) по сокращению, парниковых выбросов</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1997 – межкорпоративные эксперименты по торговле парниковыми выбросами с участием Shell и BP</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!997 – подписание Киотского протокола</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2005 – 1-я </w:t>
      </w:r>
      <w:r w:rsidR="00423C7B">
        <w:rPr>
          <w:rFonts w:ascii="Times New Roman" w:hAnsi="Times New Roman"/>
          <w:sz w:val="24"/>
          <w:szCs w:val="24"/>
          <w:lang w:val="ru-RU"/>
        </w:rPr>
        <w:t>(пилотная)</w:t>
      </w:r>
      <w:r w:rsidR="00423C7B" w:rsidRPr="008F24DC">
        <w:rPr>
          <w:rFonts w:ascii="Times New Roman" w:hAnsi="Times New Roman"/>
          <w:sz w:val="24"/>
          <w:szCs w:val="24"/>
          <w:lang w:val="ru-RU"/>
        </w:rPr>
        <w:t xml:space="preserve"> </w:t>
      </w:r>
      <w:r w:rsidRPr="008F24DC">
        <w:rPr>
          <w:rFonts w:ascii="Times New Roman" w:hAnsi="Times New Roman"/>
          <w:sz w:val="24"/>
          <w:szCs w:val="24"/>
          <w:lang w:val="ru-RU"/>
        </w:rPr>
        <w:t>фаза</w:t>
      </w:r>
      <w:r w:rsidR="00423C7B">
        <w:rPr>
          <w:rFonts w:ascii="Times New Roman" w:hAnsi="Times New Roman"/>
          <w:sz w:val="24"/>
          <w:szCs w:val="24"/>
          <w:lang w:val="ru-RU"/>
        </w:rPr>
        <w:t xml:space="preserve"> </w:t>
      </w:r>
      <w:r w:rsidRPr="008F24DC">
        <w:rPr>
          <w:rFonts w:ascii="Times New Roman" w:hAnsi="Times New Roman"/>
          <w:sz w:val="24"/>
          <w:szCs w:val="24"/>
          <w:lang w:val="ru-RU"/>
        </w:rPr>
        <w:t xml:space="preserve">работы Европейской </w:t>
      </w:r>
      <w:r w:rsidR="00423C7B">
        <w:rPr>
          <w:rFonts w:ascii="Times New Roman" w:hAnsi="Times New Roman"/>
          <w:sz w:val="24"/>
          <w:szCs w:val="24"/>
          <w:lang w:val="ru-RU"/>
        </w:rPr>
        <w:t>торговой системы</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2006 – </w:t>
      </w:r>
      <w:r w:rsidR="00BD227B">
        <w:rPr>
          <w:rFonts w:ascii="Times New Roman" w:hAnsi="Times New Roman"/>
          <w:sz w:val="24"/>
          <w:szCs w:val="24"/>
          <w:lang w:val="ru-RU"/>
        </w:rPr>
        <w:t>2011, принятие и вступление в силу в</w:t>
      </w:r>
      <w:r w:rsidRPr="008F24DC">
        <w:rPr>
          <w:rFonts w:ascii="Times New Roman" w:hAnsi="Times New Roman"/>
          <w:sz w:val="24"/>
          <w:szCs w:val="24"/>
          <w:lang w:val="ru-RU"/>
        </w:rPr>
        <w:t xml:space="preserve"> Калифорнии Закон</w:t>
      </w:r>
      <w:r w:rsidR="00BD227B">
        <w:rPr>
          <w:rFonts w:ascii="Times New Roman" w:hAnsi="Times New Roman"/>
          <w:sz w:val="24"/>
          <w:szCs w:val="24"/>
          <w:lang w:val="ru-RU"/>
        </w:rPr>
        <w:t>а</w:t>
      </w:r>
      <w:r w:rsidRPr="008F24DC">
        <w:rPr>
          <w:rFonts w:ascii="Times New Roman" w:hAnsi="Times New Roman"/>
          <w:sz w:val="24"/>
          <w:szCs w:val="24"/>
          <w:lang w:val="ru-RU"/>
        </w:rPr>
        <w:t xml:space="preserve"> о решениях по глобальному потеплению (California Global Warming Solutions Act).</w:t>
      </w:r>
    </w:p>
    <w:p w:rsid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Основной вывод, к которому приводит анализ международного опыта, заключается в том, что административный эксперимент, базирующийся на обязательности абсолютных лимитов и занимающий достаточное время для того, чтобы сформулировать коррективы в первоначальную схему, серьезно увеличивает шансы на успешное внедрение системы.</w:t>
      </w:r>
    </w:p>
    <w:p w:rsidR="00641FAD" w:rsidRPr="008F24DC" w:rsidRDefault="00641FAD" w:rsidP="008F24DC">
      <w:pPr>
        <w:spacing w:after="120" w:line="240" w:lineRule="auto"/>
        <w:ind w:firstLine="567"/>
        <w:jc w:val="both"/>
        <w:rPr>
          <w:rFonts w:ascii="Times New Roman" w:hAnsi="Times New Roman"/>
          <w:sz w:val="24"/>
          <w:szCs w:val="24"/>
          <w:lang w:val="ru-RU"/>
        </w:rPr>
      </w:pPr>
    </w:p>
    <w:p w:rsidR="008F24DC" w:rsidRPr="00641FAD" w:rsidRDefault="00423C7B" w:rsidP="00641FAD">
      <w:pPr>
        <w:spacing w:after="120" w:line="240" w:lineRule="auto"/>
        <w:rPr>
          <w:rFonts w:ascii="Times New Roman" w:hAnsi="Times New Roman"/>
          <w:b/>
          <w:i/>
          <w:sz w:val="24"/>
          <w:szCs w:val="24"/>
          <w:lang w:val="ru-RU"/>
        </w:rPr>
      </w:pPr>
      <w:r w:rsidRPr="00641FAD">
        <w:rPr>
          <w:rFonts w:ascii="Times New Roman" w:hAnsi="Times New Roman"/>
          <w:b/>
          <w:i/>
          <w:sz w:val="24"/>
          <w:szCs w:val="24"/>
          <w:lang w:val="ru-RU"/>
        </w:rPr>
        <w:t xml:space="preserve"> </w:t>
      </w:r>
      <w:r w:rsidR="00257983">
        <w:rPr>
          <w:rFonts w:ascii="Times New Roman" w:hAnsi="Times New Roman"/>
          <w:b/>
          <w:i/>
          <w:sz w:val="24"/>
          <w:szCs w:val="24"/>
          <w:lang w:val="ru-RU"/>
        </w:rPr>
        <w:t>М</w:t>
      </w:r>
      <w:r w:rsidR="008F24DC" w:rsidRPr="00641FAD">
        <w:rPr>
          <w:rFonts w:ascii="Times New Roman" w:hAnsi="Times New Roman"/>
          <w:b/>
          <w:i/>
          <w:sz w:val="24"/>
          <w:szCs w:val="24"/>
          <w:lang w:val="ru-RU"/>
        </w:rPr>
        <w:t>отивы и цели</w:t>
      </w:r>
      <w:r w:rsidR="00257983">
        <w:rPr>
          <w:rFonts w:ascii="Times New Roman" w:hAnsi="Times New Roman"/>
          <w:b/>
          <w:i/>
          <w:sz w:val="24"/>
          <w:szCs w:val="24"/>
          <w:lang w:val="ru-RU"/>
        </w:rPr>
        <w:t xml:space="preserve"> создания рыночного механизма регулирования парниковых выбросов к России</w:t>
      </w:r>
    </w:p>
    <w:p w:rsidR="00B516CF" w:rsidRDefault="00257983"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Создание иного, чем </w:t>
      </w:r>
      <w:proofErr w:type="gramStart"/>
      <w:r>
        <w:rPr>
          <w:rFonts w:ascii="Times New Roman" w:hAnsi="Times New Roman"/>
          <w:sz w:val="24"/>
          <w:szCs w:val="24"/>
          <w:lang w:val="ru-RU"/>
        </w:rPr>
        <w:t>рыночный</w:t>
      </w:r>
      <w:proofErr w:type="gramEnd"/>
      <w:r>
        <w:rPr>
          <w:rFonts w:ascii="Times New Roman" w:hAnsi="Times New Roman"/>
          <w:sz w:val="24"/>
          <w:szCs w:val="24"/>
          <w:lang w:val="ru-RU"/>
        </w:rPr>
        <w:t>, экономического механизма регулирования парниковых выбросов в России (например, введение налога на парниковые выбросы) не имеет смысла</w:t>
      </w:r>
      <w:r w:rsidR="000A492C">
        <w:rPr>
          <w:rFonts w:ascii="Times New Roman" w:hAnsi="Times New Roman"/>
          <w:sz w:val="24"/>
          <w:szCs w:val="24"/>
          <w:lang w:val="ru-RU"/>
        </w:rPr>
        <w:t xml:space="preserve"> и перспекти</w:t>
      </w:r>
      <w:r w:rsidR="009E5952">
        <w:rPr>
          <w:rFonts w:ascii="Times New Roman" w:hAnsi="Times New Roman"/>
          <w:sz w:val="24"/>
          <w:szCs w:val="24"/>
          <w:lang w:val="ru-RU"/>
        </w:rPr>
        <w:t xml:space="preserve">вы. </w:t>
      </w:r>
    </w:p>
    <w:p w:rsidR="00B516CF" w:rsidRDefault="009E5952"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Во-первых, парниковый налог или плата за парниковые выбросы не создает</w:t>
      </w:r>
      <w:r w:rsidR="000A492C">
        <w:rPr>
          <w:rFonts w:ascii="Times New Roman" w:hAnsi="Times New Roman"/>
          <w:sz w:val="24"/>
          <w:szCs w:val="24"/>
          <w:lang w:val="ru-RU"/>
        </w:rPr>
        <w:t xml:space="preserve"> </w:t>
      </w:r>
      <w:r>
        <w:rPr>
          <w:rFonts w:ascii="Times New Roman" w:hAnsi="Times New Roman"/>
          <w:sz w:val="24"/>
          <w:szCs w:val="24"/>
          <w:lang w:val="ru-RU"/>
        </w:rPr>
        <w:t>возможности</w:t>
      </w:r>
      <w:r w:rsidR="000A492C">
        <w:rPr>
          <w:rFonts w:ascii="Times New Roman" w:hAnsi="Times New Roman"/>
          <w:sz w:val="24"/>
          <w:szCs w:val="24"/>
          <w:lang w:val="ru-RU"/>
        </w:rPr>
        <w:t xml:space="preserve"> выхода на внешние углеродные рынки, а во-вторых, политическая и общественная озабоченность проблемой глобального изменения климата в России не настолько велика, чтобы </w:t>
      </w:r>
      <w:r w:rsidR="0060745D">
        <w:rPr>
          <w:rFonts w:ascii="Times New Roman" w:hAnsi="Times New Roman"/>
          <w:sz w:val="24"/>
          <w:szCs w:val="24"/>
          <w:lang w:val="ru-RU"/>
        </w:rPr>
        <w:t xml:space="preserve">обложение парниковым налогом, введение лимитов и штрафных санкций без мощного финансового стимула нашло понимание в бизнесе и обществе. </w:t>
      </w:r>
    </w:p>
    <w:p w:rsidR="00257983" w:rsidRDefault="0060745D"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Как естественный компонент атмосферы диоксид углерода не является в России нормируемым газом, и отнесение </w:t>
      </w:r>
      <w:r w:rsidR="009E5952">
        <w:rPr>
          <w:rFonts w:ascii="Times New Roman" w:hAnsi="Times New Roman"/>
          <w:sz w:val="24"/>
          <w:szCs w:val="24"/>
          <w:lang w:val="ru-RU"/>
        </w:rPr>
        <w:t>СО</w:t>
      </w:r>
      <w:proofErr w:type="gramStart"/>
      <w:r w:rsidR="009E5952" w:rsidRPr="009E5952">
        <w:rPr>
          <w:rFonts w:ascii="Times New Roman" w:hAnsi="Times New Roman"/>
          <w:sz w:val="24"/>
          <w:szCs w:val="24"/>
          <w:vertAlign w:val="subscript"/>
          <w:lang w:val="ru-RU"/>
        </w:rPr>
        <w:t>2</w:t>
      </w:r>
      <w:proofErr w:type="gramEnd"/>
      <w:r>
        <w:rPr>
          <w:rFonts w:ascii="Times New Roman" w:hAnsi="Times New Roman"/>
          <w:sz w:val="24"/>
          <w:szCs w:val="24"/>
          <w:lang w:val="ru-RU"/>
        </w:rPr>
        <w:t xml:space="preserve"> к числу нормируемых </w:t>
      </w:r>
      <w:r w:rsidR="009E5952">
        <w:rPr>
          <w:rFonts w:ascii="Times New Roman" w:hAnsi="Times New Roman"/>
          <w:sz w:val="24"/>
          <w:szCs w:val="24"/>
          <w:lang w:val="ru-RU"/>
        </w:rPr>
        <w:t xml:space="preserve">в России </w:t>
      </w:r>
      <w:r w:rsidR="00CA7655">
        <w:rPr>
          <w:rFonts w:ascii="Times New Roman" w:hAnsi="Times New Roman"/>
          <w:sz w:val="24"/>
          <w:szCs w:val="24"/>
          <w:lang w:val="ru-RU"/>
        </w:rPr>
        <w:t>может быть оправданным только возможностью капитализировать сокращения</w:t>
      </w:r>
      <w:r w:rsidR="00146E3E">
        <w:rPr>
          <w:rFonts w:ascii="Times New Roman" w:hAnsi="Times New Roman"/>
          <w:sz w:val="24"/>
          <w:szCs w:val="24"/>
          <w:lang w:val="ru-RU"/>
        </w:rPr>
        <w:t xml:space="preserve"> его выбросов</w:t>
      </w:r>
      <w:r w:rsidR="00CA7655">
        <w:rPr>
          <w:rFonts w:ascii="Times New Roman" w:hAnsi="Times New Roman"/>
          <w:sz w:val="24"/>
          <w:szCs w:val="24"/>
          <w:lang w:val="ru-RU"/>
        </w:rPr>
        <w:t xml:space="preserve"> на рынке.</w:t>
      </w:r>
    </w:p>
    <w:p w:rsidR="00B5601C" w:rsidRDefault="009E5952"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К числу нормируемых газов относится метан. А в случае с </w:t>
      </w:r>
      <w:r w:rsidR="003E3A47">
        <w:rPr>
          <w:rFonts w:ascii="Times New Roman" w:hAnsi="Times New Roman"/>
          <w:sz w:val="24"/>
          <w:szCs w:val="24"/>
          <w:lang w:val="ru-RU"/>
        </w:rPr>
        <w:t>попутным нефтяным газом предлагаются настолько высокие штрафные платежи за его сжигание</w:t>
      </w:r>
      <w:r w:rsidR="00B516CF">
        <w:rPr>
          <w:rFonts w:ascii="Times New Roman" w:hAnsi="Times New Roman"/>
          <w:sz w:val="24"/>
          <w:szCs w:val="24"/>
          <w:lang w:val="ru-RU"/>
        </w:rPr>
        <w:t xml:space="preserve">, которые уже заставляют нефтяные компании интуитивно искать выход в тех схемах, которые применялись в США на пути построения рынка атмосферных выбросов еще в 70-е годы. </w:t>
      </w:r>
    </w:p>
    <w:p w:rsidR="00B5601C" w:rsidRDefault="00B516CF"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Действительно, применение в данном случае принципа «купола», то есть коллективных обязательств по </w:t>
      </w:r>
      <w:r w:rsidR="00E86E0E">
        <w:rPr>
          <w:rFonts w:ascii="Times New Roman" w:hAnsi="Times New Roman"/>
          <w:sz w:val="24"/>
          <w:szCs w:val="24"/>
          <w:lang w:val="ru-RU"/>
        </w:rPr>
        <w:t xml:space="preserve">лимиту сжигания </w:t>
      </w:r>
      <w:proofErr w:type="spellStart"/>
      <w:r w:rsidR="00E86E0E">
        <w:rPr>
          <w:rFonts w:ascii="Times New Roman" w:hAnsi="Times New Roman"/>
          <w:sz w:val="24"/>
          <w:szCs w:val="24"/>
          <w:lang w:val="ru-RU"/>
        </w:rPr>
        <w:t>НПГ</w:t>
      </w:r>
      <w:proofErr w:type="spellEnd"/>
      <w:r w:rsidR="00E86E0E">
        <w:rPr>
          <w:rFonts w:ascii="Times New Roman" w:hAnsi="Times New Roman"/>
          <w:sz w:val="24"/>
          <w:szCs w:val="24"/>
          <w:lang w:val="ru-RU"/>
        </w:rPr>
        <w:t xml:space="preserve"> не только позволяет облегчить положение участников, но и в принципе является основой для сделок по купле-продаже прав на сжигание метана. То есть утилизация нефтяной компанией (источником) большего объема метана, чем требуется, образует тот самый кредит, который может быть продан другой нефтяной компании (источнику) внутри «купола»</w:t>
      </w:r>
      <w:r w:rsidR="00B5601C">
        <w:rPr>
          <w:rFonts w:ascii="Times New Roman" w:hAnsi="Times New Roman"/>
          <w:sz w:val="24"/>
          <w:szCs w:val="24"/>
          <w:lang w:val="ru-RU"/>
        </w:rPr>
        <w:t>. И даже если объем таких сделок несоразмерно мал, по сравнению с затратами на создание нормативной, методологической инфраструктуры, необходимой для их полноценного совершения, это может служить основой для административного эксперимента</w:t>
      </w:r>
      <w:r w:rsidR="00D61353">
        <w:rPr>
          <w:rFonts w:ascii="Times New Roman" w:hAnsi="Times New Roman"/>
          <w:sz w:val="24"/>
          <w:szCs w:val="24"/>
          <w:lang w:val="ru-RU"/>
        </w:rPr>
        <w:t>, дающего необходимый практический опыт.</w:t>
      </w:r>
    </w:p>
    <w:p w:rsidR="0088439A" w:rsidRDefault="00D61353"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Другая в</w:t>
      </w:r>
      <w:r w:rsidR="00B5601C">
        <w:rPr>
          <w:rFonts w:ascii="Times New Roman" w:hAnsi="Times New Roman"/>
          <w:sz w:val="24"/>
          <w:szCs w:val="24"/>
          <w:lang w:val="ru-RU"/>
        </w:rPr>
        <w:t>озможност</w:t>
      </w:r>
      <w:r>
        <w:rPr>
          <w:rFonts w:ascii="Times New Roman" w:hAnsi="Times New Roman"/>
          <w:sz w:val="24"/>
          <w:szCs w:val="24"/>
          <w:lang w:val="ru-RU"/>
        </w:rPr>
        <w:t>ь</w:t>
      </w:r>
      <w:r w:rsidR="00B5601C">
        <w:rPr>
          <w:rFonts w:ascii="Times New Roman" w:hAnsi="Times New Roman"/>
          <w:sz w:val="24"/>
          <w:szCs w:val="24"/>
          <w:lang w:val="ru-RU"/>
        </w:rPr>
        <w:t xml:space="preserve"> для</w:t>
      </w:r>
      <w:r>
        <w:rPr>
          <w:rFonts w:ascii="Times New Roman" w:hAnsi="Times New Roman"/>
          <w:sz w:val="24"/>
          <w:szCs w:val="24"/>
          <w:lang w:val="ru-RU"/>
        </w:rPr>
        <w:t xml:space="preserve"> организации добровольного административного эксперимента иного рода возникло бы в случае предоставления нефтяным компаниям права приобретать кредиты за пределами «купола»</w:t>
      </w:r>
      <w:r w:rsidR="00ED03A1">
        <w:rPr>
          <w:rFonts w:ascii="Times New Roman" w:hAnsi="Times New Roman"/>
          <w:sz w:val="24"/>
          <w:szCs w:val="24"/>
          <w:lang w:val="ru-RU"/>
        </w:rPr>
        <w:t xml:space="preserve">, у тех, кто сокращает выбросы метана в атмосферы сверх того, что требуется от них в соответствии с нормативами. К числу таких могут </w:t>
      </w:r>
      <w:proofErr w:type="gramStart"/>
      <w:r w:rsidR="00ED03A1">
        <w:rPr>
          <w:rFonts w:ascii="Times New Roman" w:hAnsi="Times New Roman"/>
          <w:sz w:val="24"/>
          <w:szCs w:val="24"/>
          <w:lang w:val="ru-RU"/>
        </w:rPr>
        <w:t>относится</w:t>
      </w:r>
      <w:proofErr w:type="gramEnd"/>
      <w:r w:rsidR="00ED03A1">
        <w:rPr>
          <w:rFonts w:ascii="Times New Roman" w:hAnsi="Times New Roman"/>
          <w:sz w:val="24"/>
          <w:szCs w:val="24"/>
          <w:lang w:val="ru-RU"/>
        </w:rPr>
        <w:t xml:space="preserve"> полигоны </w:t>
      </w:r>
      <w:proofErr w:type="spellStart"/>
      <w:r w:rsidR="00ED03A1">
        <w:rPr>
          <w:rFonts w:ascii="Times New Roman" w:hAnsi="Times New Roman"/>
          <w:sz w:val="24"/>
          <w:szCs w:val="24"/>
          <w:lang w:val="ru-RU"/>
        </w:rPr>
        <w:t>ТБО</w:t>
      </w:r>
      <w:proofErr w:type="spellEnd"/>
      <w:r w:rsidR="00ED03A1">
        <w:rPr>
          <w:rFonts w:ascii="Times New Roman" w:hAnsi="Times New Roman"/>
          <w:sz w:val="24"/>
          <w:szCs w:val="24"/>
          <w:lang w:val="ru-RU"/>
        </w:rPr>
        <w:t xml:space="preserve">, животноводческие хозяйства, утилизирующие </w:t>
      </w:r>
      <w:proofErr w:type="spellStart"/>
      <w:r w:rsidR="00ED03A1">
        <w:rPr>
          <w:rFonts w:ascii="Times New Roman" w:hAnsi="Times New Roman"/>
          <w:sz w:val="24"/>
          <w:szCs w:val="24"/>
          <w:lang w:val="ru-RU"/>
        </w:rPr>
        <w:t>биогаз</w:t>
      </w:r>
      <w:proofErr w:type="spellEnd"/>
      <w:r w:rsidR="00ED03A1">
        <w:rPr>
          <w:rFonts w:ascii="Times New Roman" w:hAnsi="Times New Roman"/>
          <w:sz w:val="24"/>
          <w:szCs w:val="24"/>
          <w:lang w:val="ru-RU"/>
        </w:rPr>
        <w:t xml:space="preserve">, предприятия, использующие в качестве </w:t>
      </w:r>
      <w:r w:rsidR="00BA6946">
        <w:rPr>
          <w:rFonts w:ascii="Times New Roman" w:hAnsi="Times New Roman"/>
          <w:sz w:val="24"/>
          <w:szCs w:val="24"/>
          <w:lang w:val="ru-RU"/>
        </w:rPr>
        <w:t>топлива торф, региональные газораспределительные сети, сделавшие  дополнительные вложения в предотвращение утечек метана</w:t>
      </w:r>
      <w:r w:rsidR="00866B6B">
        <w:rPr>
          <w:rFonts w:ascii="Times New Roman" w:hAnsi="Times New Roman"/>
          <w:sz w:val="24"/>
          <w:szCs w:val="24"/>
          <w:lang w:val="ru-RU"/>
        </w:rPr>
        <w:t>, угольные предприятия, делающие дополнительные вложения в утилизацию шахтного метана.</w:t>
      </w:r>
      <w:r w:rsidR="00BA6946">
        <w:rPr>
          <w:rFonts w:ascii="Times New Roman" w:hAnsi="Times New Roman"/>
          <w:sz w:val="24"/>
          <w:szCs w:val="24"/>
          <w:lang w:val="ru-RU"/>
        </w:rPr>
        <w:t xml:space="preserve"> Постепенное ужесточение лимитов сжигания </w:t>
      </w:r>
      <w:proofErr w:type="spellStart"/>
      <w:r w:rsidR="00BA6946">
        <w:rPr>
          <w:rFonts w:ascii="Times New Roman" w:hAnsi="Times New Roman"/>
          <w:sz w:val="24"/>
          <w:szCs w:val="24"/>
          <w:lang w:val="ru-RU"/>
        </w:rPr>
        <w:t>НПГ</w:t>
      </w:r>
      <w:proofErr w:type="spellEnd"/>
      <w:r w:rsidR="00BA6946">
        <w:rPr>
          <w:rFonts w:ascii="Times New Roman" w:hAnsi="Times New Roman"/>
          <w:sz w:val="24"/>
          <w:szCs w:val="24"/>
          <w:lang w:val="ru-RU"/>
        </w:rPr>
        <w:t xml:space="preserve"> не позволит </w:t>
      </w:r>
      <w:r w:rsidR="00866B6B">
        <w:rPr>
          <w:rFonts w:ascii="Times New Roman" w:hAnsi="Times New Roman"/>
          <w:sz w:val="24"/>
          <w:szCs w:val="24"/>
          <w:lang w:val="ru-RU"/>
        </w:rPr>
        <w:t xml:space="preserve">сжигать </w:t>
      </w:r>
      <w:proofErr w:type="spellStart"/>
      <w:r w:rsidR="00866B6B">
        <w:rPr>
          <w:rFonts w:ascii="Times New Roman" w:hAnsi="Times New Roman"/>
          <w:sz w:val="24"/>
          <w:szCs w:val="24"/>
          <w:lang w:val="ru-RU"/>
        </w:rPr>
        <w:t>НПГ</w:t>
      </w:r>
      <w:proofErr w:type="spellEnd"/>
      <w:r w:rsidR="00866B6B">
        <w:rPr>
          <w:rFonts w:ascii="Times New Roman" w:hAnsi="Times New Roman"/>
          <w:sz w:val="24"/>
          <w:szCs w:val="24"/>
          <w:lang w:val="ru-RU"/>
        </w:rPr>
        <w:t xml:space="preserve"> сколь угодно долго, расплачиваясь со сторонними компаниями. Но, с</w:t>
      </w:r>
      <w:r w:rsidR="00BA6946">
        <w:rPr>
          <w:rFonts w:ascii="Times New Roman" w:hAnsi="Times New Roman"/>
          <w:sz w:val="24"/>
          <w:szCs w:val="24"/>
          <w:lang w:val="ru-RU"/>
        </w:rPr>
        <w:t xml:space="preserve"> одной стороны, это дало бы нефтяным компаниям время для создания необходимой инфраструктуры, с другой</w:t>
      </w:r>
      <w:r w:rsidR="00866B6B">
        <w:rPr>
          <w:rFonts w:ascii="Times New Roman" w:hAnsi="Times New Roman"/>
          <w:sz w:val="24"/>
          <w:szCs w:val="24"/>
          <w:lang w:val="ru-RU"/>
        </w:rPr>
        <w:t>, сформировало источник финансирования для реализации важных социально-экологических проектов.</w:t>
      </w:r>
      <w:r w:rsidR="00ED03A1">
        <w:rPr>
          <w:rFonts w:ascii="Times New Roman" w:hAnsi="Times New Roman"/>
          <w:sz w:val="24"/>
          <w:szCs w:val="24"/>
          <w:lang w:val="ru-RU"/>
        </w:rPr>
        <w:t xml:space="preserve"> </w:t>
      </w:r>
      <w:r>
        <w:rPr>
          <w:rFonts w:ascii="Times New Roman" w:hAnsi="Times New Roman"/>
          <w:sz w:val="24"/>
          <w:szCs w:val="24"/>
          <w:lang w:val="ru-RU"/>
        </w:rPr>
        <w:t xml:space="preserve"> </w:t>
      </w:r>
    </w:p>
    <w:p w:rsidR="0088439A" w:rsidRDefault="0088439A"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И это не единственный пример, когда ужесточение требований, ведущее к долгосрочному эффекту энергоэффективности, энергосбережения не может быть реализовано в короткие сроки из-за больших объемов начальных капиталовложений. </w:t>
      </w:r>
    </w:p>
    <w:p w:rsidR="009E5952" w:rsidRDefault="0088439A"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 принципе такая же ситуация складывается с ужесточением стандартов строительства</w:t>
      </w:r>
      <w:r w:rsidR="008A2356">
        <w:rPr>
          <w:rFonts w:ascii="Times New Roman" w:hAnsi="Times New Roman"/>
          <w:sz w:val="24"/>
          <w:szCs w:val="24"/>
          <w:lang w:val="ru-RU"/>
        </w:rPr>
        <w:t>, когда строительство жилья по новым требованиям обходится слишком дорого</w:t>
      </w:r>
      <w:r w:rsidR="00146E3E">
        <w:rPr>
          <w:rFonts w:ascii="Times New Roman" w:hAnsi="Times New Roman"/>
          <w:sz w:val="24"/>
          <w:szCs w:val="24"/>
          <w:lang w:val="ru-RU"/>
        </w:rPr>
        <w:t>, особенно для муниципального жилья</w:t>
      </w:r>
      <w:r w:rsidR="008A2356">
        <w:rPr>
          <w:rFonts w:ascii="Times New Roman" w:hAnsi="Times New Roman"/>
          <w:sz w:val="24"/>
          <w:szCs w:val="24"/>
          <w:lang w:val="ru-RU"/>
        </w:rPr>
        <w:t xml:space="preserve">, но и здесь противоречие, возможно, разрешимо, если капитализировать в виде кредитов на выбросы сокращения, достигаемые </w:t>
      </w:r>
      <w:r w:rsidR="00146E3E">
        <w:rPr>
          <w:rFonts w:ascii="Times New Roman" w:hAnsi="Times New Roman"/>
          <w:sz w:val="24"/>
          <w:szCs w:val="24"/>
          <w:lang w:val="ru-RU"/>
        </w:rPr>
        <w:t xml:space="preserve">как результат </w:t>
      </w:r>
      <w:r w:rsidR="008A2356">
        <w:rPr>
          <w:rFonts w:ascii="Times New Roman" w:hAnsi="Times New Roman"/>
          <w:sz w:val="24"/>
          <w:szCs w:val="24"/>
          <w:lang w:val="ru-RU"/>
        </w:rPr>
        <w:t>долгосрочного энергосбережения.</w:t>
      </w:r>
      <w:r w:rsidR="003E3A47">
        <w:rPr>
          <w:rFonts w:ascii="Times New Roman" w:hAnsi="Times New Roman"/>
          <w:sz w:val="24"/>
          <w:szCs w:val="24"/>
          <w:lang w:val="ru-RU"/>
        </w:rPr>
        <w:t xml:space="preserve"> </w:t>
      </w:r>
    </w:p>
    <w:p w:rsidR="0060745D" w:rsidRDefault="008A2356"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Принципиальн</w:t>
      </w:r>
      <w:r w:rsidR="00146E3E">
        <w:rPr>
          <w:rFonts w:ascii="Times New Roman" w:hAnsi="Times New Roman"/>
          <w:sz w:val="24"/>
          <w:szCs w:val="24"/>
          <w:lang w:val="ru-RU"/>
        </w:rPr>
        <w:t>ая</w:t>
      </w:r>
      <w:r>
        <w:rPr>
          <w:rFonts w:ascii="Times New Roman" w:hAnsi="Times New Roman"/>
          <w:sz w:val="24"/>
          <w:szCs w:val="24"/>
          <w:lang w:val="ru-RU"/>
        </w:rPr>
        <w:t xml:space="preserve"> </w:t>
      </w:r>
      <w:r w:rsidR="00146E3E">
        <w:rPr>
          <w:rFonts w:ascii="Times New Roman" w:hAnsi="Times New Roman"/>
          <w:sz w:val="24"/>
          <w:szCs w:val="24"/>
          <w:lang w:val="ru-RU"/>
        </w:rPr>
        <w:t>особенность глобального действия</w:t>
      </w:r>
      <w:r>
        <w:rPr>
          <w:rFonts w:ascii="Times New Roman" w:hAnsi="Times New Roman"/>
          <w:sz w:val="24"/>
          <w:szCs w:val="24"/>
          <w:lang w:val="ru-RU"/>
        </w:rPr>
        <w:t xml:space="preserve"> парниковых выбросов от выбросов нормируемых газов регионального или локального действия</w:t>
      </w:r>
      <w:r w:rsidR="00FB1124">
        <w:rPr>
          <w:rFonts w:ascii="Times New Roman" w:hAnsi="Times New Roman"/>
          <w:sz w:val="24"/>
          <w:szCs w:val="24"/>
          <w:lang w:val="ru-RU"/>
        </w:rPr>
        <w:t xml:space="preserve"> позволяет </w:t>
      </w:r>
      <w:r w:rsidR="00146E3E">
        <w:rPr>
          <w:rFonts w:ascii="Times New Roman" w:hAnsi="Times New Roman"/>
          <w:sz w:val="24"/>
          <w:szCs w:val="24"/>
          <w:lang w:val="ru-RU"/>
        </w:rPr>
        <w:t>обращение</w:t>
      </w:r>
      <w:r w:rsidR="00FB1124">
        <w:rPr>
          <w:rFonts w:ascii="Times New Roman" w:hAnsi="Times New Roman"/>
          <w:sz w:val="24"/>
          <w:szCs w:val="24"/>
          <w:lang w:val="ru-RU"/>
        </w:rPr>
        <w:t xml:space="preserve"> кредитов вне зависимости от их географического происхождения, что облегчает рыночные отношения между регионами и секторами.</w:t>
      </w:r>
    </w:p>
    <w:p w:rsidR="00FB1124" w:rsidRDefault="00E60BC1"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w:t>
      </w:r>
      <w:r w:rsidRPr="00E60BC1">
        <w:rPr>
          <w:rFonts w:ascii="Times New Roman" w:hAnsi="Times New Roman"/>
          <w:sz w:val="24"/>
          <w:szCs w:val="24"/>
          <w:lang w:val="ru-RU"/>
        </w:rPr>
        <w:t xml:space="preserve">олитическое намерение </w:t>
      </w:r>
      <w:r w:rsidR="00FB1124">
        <w:rPr>
          <w:rFonts w:ascii="Times New Roman" w:hAnsi="Times New Roman"/>
          <w:sz w:val="24"/>
          <w:szCs w:val="24"/>
          <w:lang w:val="ru-RU"/>
        </w:rPr>
        <w:t>испытать</w:t>
      </w:r>
      <w:r w:rsidRPr="00E60BC1">
        <w:rPr>
          <w:rFonts w:ascii="Times New Roman" w:hAnsi="Times New Roman"/>
          <w:sz w:val="24"/>
          <w:szCs w:val="24"/>
          <w:lang w:val="ru-RU"/>
        </w:rPr>
        <w:t xml:space="preserve"> рыночный механизм в России существует</w:t>
      </w:r>
      <w:r w:rsidR="00FB1124">
        <w:rPr>
          <w:rFonts w:ascii="Times New Roman" w:hAnsi="Times New Roman"/>
          <w:sz w:val="24"/>
          <w:szCs w:val="24"/>
          <w:lang w:val="ru-RU"/>
        </w:rPr>
        <w:t xml:space="preserve"> или, по крайней мере, формируется</w:t>
      </w:r>
      <w:r w:rsidRPr="00E60BC1">
        <w:rPr>
          <w:rFonts w:ascii="Times New Roman" w:hAnsi="Times New Roman"/>
          <w:sz w:val="24"/>
          <w:szCs w:val="24"/>
          <w:lang w:val="ru-RU"/>
        </w:rPr>
        <w:t>. Это, однако, задача исключительно сложная, если принять во внимание особенности российского процесса принятия решений</w:t>
      </w:r>
      <w:r w:rsidR="00BB1DDB">
        <w:rPr>
          <w:rFonts w:ascii="Times New Roman" w:hAnsi="Times New Roman"/>
          <w:sz w:val="24"/>
          <w:szCs w:val="24"/>
          <w:lang w:val="ru-RU"/>
        </w:rPr>
        <w:t xml:space="preserve"> и инерцию мышления</w:t>
      </w:r>
      <w:r w:rsidRPr="00E60BC1">
        <w:rPr>
          <w:rFonts w:ascii="Times New Roman" w:hAnsi="Times New Roman"/>
          <w:sz w:val="24"/>
          <w:szCs w:val="24"/>
          <w:lang w:val="ru-RU"/>
        </w:rPr>
        <w:t>.</w:t>
      </w:r>
      <w:r w:rsidR="00BB1DDB">
        <w:rPr>
          <w:rFonts w:ascii="Times New Roman" w:hAnsi="Times New Roman"/>
          <w:sz w:val="24"/>
          <w:szCs w:val="24"/>
          <w:lang w:val="ru-RU"/>
        </w:rPr>
        <w:t xml:space="preserve"> Ведь необходимо преодолеть не только традиционный подход к нормированию выбросов и сбросов, но и допустить право частной собственности на атмосферные эмиссии.</w:t>
      </w:r>
      <w:r w:rsidRPr="00E60BC1">
        <w:rPr>
          <w:rFonts w:ascii="Times New Roman" w:hAnsi="Times New Roman"/>
          <w:sz w:val="24"/>
          <w:szCs w:val="24"/>
          <w:lang w:val="ru-RU"/>
        </w:rPr>
        <w:t xml:space="preserve"> </w:t>
      </w:r>
    </w:p>
    <w:p w:rsidR="00FB1124" w:rsidRDefault="00E60BC1" w:rsidP="008F24DC">
      <w:pPr>
        <w:spacing w:after="120" w:line="240" w:lineRule="auto"/>
        <w:ind w:firstLine="567"/>
        <w:jc w:val="both"/>
        <w:rPr>
          <w:rFonts w:ascii="Times New Roman" w:hAnsi="Times New Roman"/>
          <w:sz w:val="24"/>
          <w:szCs w:val="24"/>
          <w:lang w:val="ru-RU"/>
        </w:rPr>
      </w:pPr>
      <w:r w:rsidRPr="00E60BC1">
        <w:rPr>
          <w:rFonts w:ascii="Times New Roman" w:hAnsi="Times New Roman"/>
          <w:sz w:val="24"/>
          <w:szCs w:val="24"/>
          <w:lang w:val="ru-RU"/>
        </w:rPr>
        <w:t xml:space="preserve">В этом контексте то, что рыночный механизм фактически насильно введен для гражданской авиации и, скорее всего, таким же образом будет введен для морского </w:t>
      </w:r>
      <w:r w:rsidRPr="00E60BC1">
        <w:rPr>
          <w:rFonts w:ascii="Times New Roman" w:hAnsi="Times New Roman"/>
          <w:sz w:val="24"/>
          <w:szCs w:val="24"/>
          <w:lang w:val="ru-RU"/>
        </w:rPr>
        <w:lastRenderedPageBreak/>
        <w:t xml:space="preserve">судоходства, фактор, скорее, позитивный. Такой позитивный импульс особенно важен для морского судоходства, которое является звеном неразрывной цепи производства и экспорта энергоемкой продукции (уголь, сталь, цветные металлы и проч.), и таким образом цена на углекислый газ косвенно ложится и на экспортируемую энергоемкую продукцию, уже создавая предпосылки для повышения энергоэффективности этих производств. </w:t>
      </w:r>
    </w:p>
    <w:p w:rsidR="00FB1124" w:rsidRDefault="00E60BC1" w:rsidP="008F24DC">
      <w:pPr>
        <w:spacing w:after="120" w:line="240" w:lineRule="auto"/>
        <w:ind w:firstLine="567"/>
        <w:jc w:val="both"/>
        <w:rPr>
          <w:rFonts w:ascii="Times New Roman" w:hAnsi="Times New Roman"/>
          <w:sz w:val="24"/>
          <w:szCs w:val="24"/>
          <w:lang w:val="ru-RU"/>
        </w:rPr>
      </w:pPr>
      <w:r w:rsidRPr="00E60BC1">
        <w:rPr>
          <w:rFonts w:ascii="Times New Roman" w:hAnsi="Times New Roman"/>
          <w:sz w:val="24"/>
          <w:szCs w:val="24"/>
          <w:lang w:val="ru-RU"/>
        </w:rPr>
        <w:t xml:space="preserve">В том случае если рыночный механизм будет разработан для морского судоходства, он может быть далее распространен на: порты, экспортное энергоемкое производство, на те, предприятия, которые уже взяли на себя обязательства через механизм «совместного осуществления», уже осуществляя проекты, которые генерируют компенсационные кредиты (off-set credits) и т.д. </w:t>
      </w:r>
    </w:p>
    <w:p w:rsidR="00E60BC1" w:rsidRDefault="00E60BC1" w:rsidP="008F24DC">
      <w:pPr>
        <w:spacing w:after="120" w:line="240" w:lineRule="auto"/>
        <w:ind w:firstLine="567"/>
        <w:jc w:val="both"/>
        <w:rPr>
          <w:rFonts w:ascii="Times New Roman" w:hAnsi="Times New Roman"/>
          <w:sz w:val="24"/>
          <w:szCs w:val="24"/>
          <w:lang w:val="ru-RU"/>
        </w:rPr>
      </w:pPr>
      <w:r w:rsidRPr="00E60BC1">
        <w:rPr>
          <w:rFonts w:ascii="Times New Roman" w:hAnsi="Times New Roman"/>
          <w:sz w:val="24"/>
          <w:szCs w:val="24"/>
          <w:lang w:val="ru-RU"/>
        </w:rPr>
        <w:t>Важным условием является то, что компенсационные кредиты (off-set credits) должны быть приемлемыми для внешних углеродных рынков. А это значит, что они с самого начала должны основываться на абсолютных и обязательных лимитах на выбросы. Поскольку средний возраст российского морского флота составляет около 30 лет, не должно возникнуть принципиальных трудностей с установлением для него лимитов на выбросы, которые впоследствии могут снижаться с модернизацией флота и, соответственно, ростом его энергоэффективности.</w:t>
      </w:r>
    </w:p>
    <w:p w:rsidR="00FB1124" w:rsidRDefault="00E60BC1" w:rsidP="008F24DC">
      <w:pPr>
        <w:spacing w:after="120" w:line="240" w:lineRule="auto"/>
        <w:ind w:firstLine="567"/>
        <w:jc w:val="both"/>
        <w:rPr>
          <w:rFonts w:ascii="Times New Roman" w:hAnsi="Times New Roman"/>
          <w:sz w:val="24"/>
          <w:szCs w:val="24"/>
          <w:lang w:val="ru-RU"/>
        </w:rPr>
      </w:pPr>
      <w:r w:rsidRPr="00E60BC1">
        <w:rPr>
          <w:rFonts w:ascii="Times New Roman" w:hAnsi="Times New Roman"/>
          <w:sz w:val="24"/>
          <w:szCs w:val="24"/>
          <w:lang w:val="ru-RU"/>
        </w:rPr>
        <w:t xml:space="preserve">Важнейшим стимулом участия в эксперименте для бизнеса, для предприятий должно являться то, что результаты, достигнутые в рамках эксперимента, компенсационные кредиты, зарегистрированные при его проведении, должны, безусловно, </w:t>
      </w:r>
      <w:r w:rsidR="00FB1124">
        <w:rPr>
          <w:rFonts w:ascii="Times New Roman" w:hAnsi="Times New Roman"/>
          <w:sz w:val="24"/>
          <w:szCs w:val="24"/>
          <w:lang w:val="ru-RU"/>
        </w:rPr>
        <w:t>наследоваться будущими схемами регулирования/нормирования выбросов</w:t>
      </w:r>
      <w:r w:rsidRPr="00E60BC1">
        <w:rPr>
          <w:rFonts w:ascii="Times New Roman" w:hAnsi="Times New Roman"/>
          <w:sz w:val="24"/>
          <w:szCs w:val="24"/>
          <w:lang w:val="ru-RU"/>
        </w:rPr>
        <w:t xml:space="preserve"> и учитываться в будущих обязательствах в качестве ликвидного актива. </w:t>
      </w:r>
    </w:p>
    <w:p w:rsidR="00E60BC1" w:rsidRDefault="00E60BC1" w:rsidP="008F24DC">
      <w:pPr>
        <w:spacing w:after="120" w:line="240" w:lineRule="auto"/>
        <w:ind w:firstLine="567"/>
        <w:jc w:val="both"/>
        <w:rPr>
          <w:rFonts w:ascii="Times New Roman" w:hAnsi="Times New Roman"/>
          <w:sz w:val="24"/>
          <w:szCs w:val="24"/>
          <w:lang w:val="ru-RU"/>
        </w:rPr>
      </w:pPr>
      <w:r w:rsidRPr="00E60BC1">
        <w:rPr>
          <w:rFonts w:ascii="Times New Roman" w:hAnsi="Times New Roman"/>
          <w:sz w:val="24"/>
          <w:szCs w:val="24"/>
          <w:lang w:val="ru-RU"/>
        </w:rPr>
        <w:t xml:space="preserve">Таким образом, эксперимент </w:t>
      </w:r>
      <w:r w:rsidR="00FB1124">
        <w:rPr>
          <w:rFonts w:ascii="Times New Roman" w:hAnsi="Times New Roman"/>
          <w:sz w:val="24"/>
          <w:szCs w:val="24"/>
          <w:lang w:val="ru-RU"/>
        </w:rPr>
        <w:t>должен</w:t>
      </w:r>
      <w:r w:rsidRPr="00E60BC1">
        <w:rPr>
          <w:rFonts w:ascii="Times New Roman" w:hAnsi="Times New Roman"/>
          <w:sz w:val="24"/>
          <w:szCs w:val="24"/>
          <w:lang w:val="ru-RU"/>
        </w:rPr>
        <w:t xml:space="preserve"> рассматриваться как предварительная пилотная стадия, стадия «раннего кредитования». Существуют вполне весомые исторические прецеденты такого «наследования» для того, чтобы такое предложение не было сочтено сомнительной новацией. </w:t>
      </w:r>
    </w:p>
    <w:p w:rsidR="00E60BC1" w:rsidRPr="00E60BC1" w:rsidRDefault="00E60BC1" w:rsidP="008F24DC">
      <w:pPr>
        <w:spacing w:after="120" w:line="240" w:lineRule="auto"/>
        <w:ind w:firstLine="567"/>
        <w:jc w:val="both"/>
        <w:rPr>
          <w:rFonts w:ascii="Times New Roman" w:hAnsi="Times New Roman"/>
          <w:sz w:val="24"/>
          <w:szCs w:val="24"/>
          <w:lang w:val="ru-RU"/>
        </w:rPr>
      </w:pPr>
      <w:r w:rsidRPr="00E60BC1">
        <w:rPr>
          <w:rFonts w:ascii="Times New Roman" w:hAnsi="Times New Roman"/>
          <w:sz w:val="24"/>
          <w:szCs w:val="24"/>
          <w:lang w:val="ru-RU"/>
        </w:rPr>
        <w:t>Предлагаемы</w:t>
      </w:r>
      <w:r w:rsidR="00FB1124">
        <w:rPr>
          <w:rFonts w:ascii="Times New Roman" w:hAnsi="Times New Roman"/>
          <w:sz w:val="24"/>
          <w:szCs w:val="24"/>
          <w:lang w:val="ru-RU"/>
        </w:rPr>
        <w:t>е</w:t>
      </w:r>
      <w:r w:rsidRPr="00E60BC1">
        <w:rPr>
          <w:rFonts w:ascii="Times New Roman" w:hAnsi="Times New Roman"/>
          <w:sz w:val="24"/>
          <w:szCs w:val="24"/>
          <w:lang w:val="ru-RU"/>
        </w:rPr>
        <w:t xml:space="preserve"> эксперимент</w:t>
      </w:r>
      <w:r w:rsidR="00FB1124">
        <w:rPr>
          <w:rFonts w:ascii="Times New Roman" w:hAnsi="Times New Roman"/>
          <w:sz w:val="24"/>
          <w:szCs w:val="24"/>
          <w:lang w:val="ru-RU"/>
        </w:rPr>
        <w:t>ы</w:t>
      </w:r>
      <w:r w:rsidRPr="00E60BC1">
        <w:rPr>
          <w:rFonts w:ascii="Times New Roman" w:hAnsi="Times New Roman"/>
          <w:sz w:val="24"/>
          <w:szCs w:val="24"/>
          <w:lang w:val="ru-RU"/>
        </w:rPr>
        <w:t xml:space="preserve"> в интересах многих. Он</w:t>
      </w:r>
      <w:r w:rsidR="00FB1124">
        <w:rPr>
          <w:rFonts w:ascii="Times New Roman" w:hAnsi="Times New Roman"/>
          <w:sz w:val="24"/>
          <w:szCs w:val="24"/>
          <w:lang w:val="ru-RU"/>
        </w:rPr>
        <w:t>и не веду</w:t>
      </w:r>
      <w:r w:rsidRPr="00E60BC1">
        <w:rPr>
          <w:rFonts w:ascii="Times New Roman" w:hAnsi="Times New Roman"/>
          <w:sz w:val="24"/>
          <w:szCs w:val="24"/>
          <w:lang w:val="ru-RU"/>
        </w:rPr>
        <w:t>т к возникновению ни новых экологических, ни экономических рисков. Хотя он</w:t>
      </w:r>
      <w:r w:rsidR="007B6C01">
        <w:rPr>
          <w:rFonts w:ascii="Times New Roman" w:hAnsi="Times New Roman"/>
          <w:sz w:val="24"/>
          <w:szCs w:val="24"/>
          <w:lang w:val="ru-RU"/>
        </w:rPr>
        <w:t>и</w:t>
      </w:r>
      <w:r w:rsidRPr="00E60BC1">
        <w:rPr>
          <w:rFonts w:ascii="Times New Roman" w:hAnsi="Times New Roman"/>
          <w:sz w:val="24"/>
          <w:szCs w:val="24"/>
          <w:lang w:val="ru-RU"/>
        </w:rPr>
        <w:t xml:space="preserve"> предполага</w:t>
      </w:r>
      <w:r w:rsidR="007B6C01">
        <w:rPr>
          <w:rFonts w:ascii="Times New Roman" w:hAnsi="Times New Roman"/>
          <w:sz w:val="24"/>
          <w:szCs w:val="24"/>
          <w:lang w:val="ru-RU"/>
        </w:rPr>
        <w:t>ю</w:t>
      </w:r>
      <w:r w:rsidRPr="00E60BC1">
        <w:rPr>
          <w:rFonts w:ascii="Times New Roman" w:hAnsi="Times New Roman"/>
          <w:sz w:val="24"/>
          <w:szCs w:val="24"/>
          <w:lang w:val="ru-RU"/>
        </w:rPr>
        <w:t xml:space="preserve">т обязательность лимитов, участие в нем как в эксперименте сугубо добровольное. </w:t>
      </w:r>
      <w:r w:rsidR="007B6C01">
        <w:rPr>
          <w:rFonts w:ascii="Times New Roman" w:hAnsi="Times New Roman"/>
          <w:sz w:val="24"/>
          <w:szCs w:val="24"/>
          <w:lang w:val="ru-RU"/>
        </w:rPr>
        <w:t>Экспериментальная фаза</w:t>
      </w:r>
      <w:r w:rsidRPr="00E60BC1">
        <w:rPr>
          <w:rFonts w:ascii="Times New Roman" w:hAnsi="Times New Roman"/>
          <w:sz w:val="24"/>
          <w:szCs w:val="24"/>
          <w:lang w:val="ru-RU"/>
        </w:rPr>
        <w:t xml:space="preserve"> позволяет гармонизировать внутренн</w:t>
      </w:r>
      <w:r w:rsidR="007B6C01">
        <w:rPr>
          <w:rFonts w:ascii="Times New Roman" w:hAnsi="Times New Roman"/>
          <w:sz w:val="24"/>
          <w:szCs w:val="24"/>
          <w:lang w:val="ru-RU"/>
        </w:rPr>
        <w:t>ие</w:t>
      </w:r>
      <w:r w:rsidRPr="00E60BC1">
        <w:rPr>
          <w:rFonts w:ascii="Times New Roman" w:hAnsi="Times New Roman"/>
          <w:sz w:val="24"/>
          <w:szCs w:val="24"/>
          <w:lang w:val="ru-RU"/>
        </w:rPr>
        <w:t xml:space="preserve"> </w:t>
      </w:r>
      <w:r w:rsidR="007B6C01">
        <w:rPr>
          <w:rFonts w:ascii="Times New Roman" w:hAnsi="Times New Roman"/>
          <w:sz w:val="24"/>
          <w:szCs w:val="24"/>
          <w:lang w:val="ru-RU"/>
        </w:rPr>
        <w:t>механизмы</w:t>
      </w:r>
      <w:r w:rsidRPr="00E60BC1">
        <w:rPr>
          <w:rFonts w:ascii="Times New Roman" w:hAnsi="Times New Roman"/>
          <w:sz w:val="24"/>
          <w:szCs w:val="24"/>
          <w:lang w:val="ru-RU"/>
        </w:rPr>
        <w:t xml:space="preserve"> регулирования с </w:t>
      </w:r>
      <w:proofErr w:type="gramStart"/>
      <w:r w:rsidRPr="00E60BC1">
        <w:rPr>
          <w:rFonts w:ascii="Times New Roman" w:hAnsi="Times New Roman"/>
          <w:sz w:val="24"/>
          <w:szCs w:val="24"/>
          <w:lang w:val="ru-RU"/>
        </w:rPr>
        <w:t>европейской</w:t>
      </w:r>
      <w:proofErr w:type="gramEnd"/>
      <w:r w:rsidR="007B6C01">
        <w:rPr>
          <w:rFonts w:ascii="Times New Roman" w:hAnsi="Times New Roman"/>
          <w:sz w:val="24"/>
          <w:szCs w:val="24"/>
          <w:lang w:val="ru-RU"/>
        </w:rPr>
        <w:t xml:space="preserve"> и другими системами</w:t>
      </w:r>
      <w:r w:rsidRPr="00E60BC1">
        <w:rPr>
          <w:rFonts w:ascii="Times New Roman" w:hAnsi="Times New Roman"/>
          <w:sz w:val="24"/>
          <w:szCs w:val="24"/>
          <w:lang w:val="ru-RU"/>
        </w:rPr>
        <w:t xml:space="preserve"> с наименьшими </w:t>
      </w:r>
      <w:r w:rsidR="007B6C01">
        <w:rPr>
          <w:rFonts w:ascii="Times New Roman" w:hAnsi="Times New Roman"/>
          <w:sz w:val="24"/>
          <w:szCs w:val="24"/>
          <w:lang w:val="ru-RU"/>
        </w:rPr>
        <w:t>потерями</w:t>
      </w:r>
      <w:r w:rsidRPr="00E60BC1">
        <w:rPr>
          <w:rFonts w:ascii="Times New Roman" w:hAnsi="Times New Roman"/>
          <w:sz w:val="24"/>
          <w:szCs w:val="24"/>
          <w:lang w:val="ru-RU"/>
        </w:rPr>
        <w:t>, а то и вовсе без какого-либо ущерба. В самом общем плане последующие шаги должны быть направлены на формирование «контингента» потенциальных участников и организацию собственно самого эксперимента.</w:t>
      </w:r>
    </w:p>
    <w:p w:rsidR="00284DF7" w:rsidRPr="000D19A3"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Более или менее единообразное понимание мотивов и целей разработки </w:t>
      </w:r>
      <w:r w:rsidR="007B6C01">
        <w:rPr>
          <w:rFonts w:ascii="Times New Roman" w:hAnsi="Times New Roman"/>
          <w:sz w:val="24"/>
          <w:szCs w:val="24"/>
          <w:lang w:val="ru-RU"/>
        </w:rPr>
        <w:t>рыночного</w:t>
      </w:r>
      <w:r w:rsidRPr="008F24DC">
        <w:rPr>
          <w:rFonts w:ascii="Times New Roman" w:hAnsi="Times New Roman"/>
          <w:sz w:val="24"/>
          <w:szCs w:val="24"/>
          <w:lang w:val="ru-RU"/>
        </w:rPr>
        <w:t xml:space="preserve"> механизма контроля парниковых выбросов представляется важным для целостного подхода к формированию системы. </w:t>
      </w:r>
      <w:r w:rsidR="00284DF7">
        <w:rPr>
          <w:rFonts w:ascii="Times New Roman" w:hAnsi="Times New Roman"/>
          <w:sz w:val="24"/>
          <w:szCs w:val="24"/>
          <w:lang w:val="ru-RU"/>
        </w:rPr>
        <w:t xml:space="preserve">Но на каждый аргумент </w:t>
      </w:r>
      <w:r w:rsidR="00284DF7" w:rsidRPr="007B6C01">
        <w:rPr>
          <w:rFonts w:ascii="Times New Roman" w:hAnsi="Times New Roman"/>
          <w:i/>
          <w:sz w:val="24"/>
          <w:szCs w:val="24"/>
        </w:rPr>
        <w:t>pro</w:t>
      </w:r>
      <w:r w:rsidR="00284DF7">
        <w:rPr>
          <w:rFonts w:ascii="Times New Roman" w:hAnsi="Times New Roman"/>
          <w:sz w:val="24"/>
          <w:szCs w:val="24"/>
          <w:lang w:val="ru-RU"/>
        </w:rPr>
        <w:t xml:space="preserve"> найдется </w:t>
      </w:r>
      <w:r w:rsidR="00284DF7" w:rsidRPr="007B6C01">
        <w:rPr>
          <w:rFonts w:ascii="Times New Roman" w:hAnsi="Times New Roman"/>
          <w:i/>
          <w:sz w:val="24"/>
          <w:szCs w:val="24"/>
        </w:rPr>
        <w:t>contra</w:t>
      </w:r>
      <w:r w:rsidR="007B6C01">
        <w:rPr>
          <w:rFonts w:ascii="Times New Roman" w:hAnsi="Times New Roman"/>
          <w:sz w:val="24"/>
          <w:szCs w:val="24"/>
          <w:lang w:val="ru-RU"/>
        </w:rPr>
        <w:t>:</w:t>
      </w:r>
    </w:p>
    <w:p w:rsidR="00284DF7"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 xml:space="preserve">1. Внутренняя торговля атмосферными эмиссиями поможет снизить </w:t>
      </w:r>
      <w:proofErr w:type="spellStart"/>
      <w:r w:rsidR="007B6C01">
        <w:rPr>
          <w:rFonts w:ascii="Times New Roman" w:hAnsi="Times New Roman"/>
          <w:sz w:val="24"/>
          <w:szCs w:val="24"/>
          <w:lang w:val="ru-RU"/>
        </w:rPr>
        <w:t>промушленные</w:t>
      </w:r>
      <w:proofErr w:type="spellEnd"/>
      <w:r w:rsidR="007B6C01">
        <w:rPr>
          <w:rFonts w:ascii="Times New Roman" w:hAnsi="Times New Roman"/>
          <w:sz w:val="24"/>
          <w:szCs w:val="24"/>
          <w:lang w:val="ru-RU"/>
        </w:rPr>
        <w:t xml:space="preserve"> </w:t>
      </w:r>
      <w:r w:rsidRPr="00284DF7">
        <w:rPr>
          <w:rFonts w:ascii="Times New Roman" w:hAnsi="Times New Roman"/>
          <w:sz w:val="24"/>
          <w:szCs w:val="24"/>
          <w:lang w:val="ru-RU"/>
        </w:rPr>
        <w:t xml:space="preserve">атмосферные выбросы наиболее экономичным способом. </w:t>
      </w:r>
    </w:p>
    <w:p w:rsidR="00284DF7"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система внутренней торговли не в интересах части промышленников; снижение атмосферных выбросов далеко не в первых рядах российских государственных приоритетов.</w:t>
      </w:r>
    </w:p>
    <w:p w:rsidR="00284DF7" w:rsidRPr="00284DF7"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2. При создании строгой и прозрачной модели система внутренней торговли станет эффективным шлюзом для иностранных инвестиций в экологические проекты с внешних, в том числе и «углеродных», рынков.</w:t>
      </w:r>
    </w:p>
    <w:p w:rsidR="00284DF7"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xml:space="preserve">: инвестиции с внешних рынков могут в основном поступать в форме «интервенции технологий». </w:t>
      </w:r>
    </w:p>
    <w:p w:rsidR="00284DF7" w:rsidRPr="00284DF7"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lastRenderedPageBreak/>
        <w:t>3. Снижение выбросов, в том числе и парниковых газов, в промышленности неизбежно сопровождается сопутствующим снижением загрязнения атмосферы опасными для здоровья веществами.</w:t>
      </w:r>
    </w:p>
    <w:p w:rsidR="00284DF7" w:rsidRPr="000D19A3"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 xml:space="preserve">Пример: По данным Агентства по охране окружающей среды США, программа «Кислотные дожди» в США вышла на полное соответствие установленным критериям по эмиссии SO2, </w:t>
      </w:r>
      <w:proofErr w:type="spellStart"/>
      <w:r w:rsidRPr="00284DF7">
        <w:rPr>
          <w:rFonts w:ascii="Times New Roman" w:hAnsi="Times New Roman"/>
          <w:sz w:val="24"/>
          <w:szCs w:val="24"/>
          <w:lang w:val="ru-RU"/>
        </w:rPr>
        <w:t>NOx</w:t>
      </w:r>
      <w:proofErr w:type="spellEnd"/>
      <w:r w:rsidRPr="00284DF7">
        <w:rPr>
          <w:rFonts w:ascii="Times New Roman" w:hAnsi="Times New Roman"/>
          <w:sz w:val="24"/>
          <w:szCs w:val="24"/>
          <w:lang w:val="ru-RU"/>
        </w:rPr>
        <w:t xml:space="preserve"> в 2007 году. В результате этого улучшение состояние здоровья населения в денежном эквиваленте к 2010 г. превысило 120 млрд. долларов США в год, что примерно в 40 раз больше, чем затраты на Программу. </w:t>
      </w:r>
    </w:p>
    <w:p w:rsidR="00284DF7" w:rsidRPr="00284DF7"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введение строгой системы вскроет истинные уровни атмосферного загрязнения.</w:t>
      </w:r>
    </w:p>
    <w:p w:rsidR="00284DF7" w:rsidRPr="000D19A3"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 xml:space="preserve">4. Введение системы торговли выбросами предотвратит «зеленые» протекционистские меры в отношении России, в том числе уже введенные (авиаперевозчики) и будущие. </w:t>
      </w:r>
    </w:p>
    <w:p w:rsidR="00284DF7" w:rsidRPr="00284DF7"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как показывает опыт вступления в ВТО, исполнение обязательств не обязательно предполагает обратной позитивной реакции.</w:t>
      </w:r>
    </w:p>
    <w:p w:rsidR="00C7795B" w:rsidRPr="00C7795B"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 xml:space="preserve">5. Введение системы торговли атмосферными эмиссиями позволит перевести масштабные декларативные цели (такие, как снижение энергоемкости ВВП, ускоренное развитие </w:t>
      </w:r>
      <w:proofErr w:type="spellStart"/>
      <w:r w:rsidRPr="00284DF7">
        <w:rPr>
          <w:rFonts w:ascii="Times New Roman" w:hAnsi="Times New Roman"/>
          <w:sz w:val="24"/>
          <w:szCs w:val="24"/>
          <w:lang w:val="ru-RU"/>
        </w:rPr>
        <w:t>ВИЭ</w:t>
      </w:r>
      <w:proofErr w:type="spellEnd"/>
      <w:r w:rsidRPr="00284DF7">
        <w:rPr>
          <w:rFonts w:ascii="Times New Roman" w:hAnsi="Times New Roman"/>
          <w:sz w:val="24"/>
          <w:szCs w:val="24"/>
          <w:lang w:val="ru-RU"/>
        </w:rPr>
        <w:t>) в разряд реально осуществимых. Рынок атмосферных эмиссий CO</w:t>
      </w:r>
      <w:r w:rsidRPr="00BB1DDB">
        <w:rPr>
          <w:rFonts w:ascii="Times New Roman" w:hAnsi="Times New Roman"/>
          <w:sz w:val="24"/>
          <w:szCs w:val="24"/>
          <w:vertAlign w:val="subscript"/>
          <w:lang w:val="ru-RU"/>
        </w:rPr>
        <w:t>2</w:t>
      </w:r>
      <w:r w:rsidRPr="00284DF7">
        <w:rPr>
          <w:rFonts w:ascii="Times New Roman" w:hAnsi="Times New Roman"/>
          <w:sz w:val="24"/>
          <w:szCs w:val="24"/>
          <w:lang w:val="ru-RU"/>
        </w:rPr>
        <w:t xml:space="preserve"> и CH</w:t>
      </w:r>
      <w:r w:rsidRPr="00BB1DDB">
        <w:rPr>
          <w:rFonts w:ascii="Times New Roman" w:hAnsi="Times New Roman"/>
          <w:sz w:val="24"/>
          <w:szCs w:val="24"/>
          <w:vertAlign w:val="subscript"/>
          <w:lang w:val="ru-RU"/>
        </w:rPr>
        <w:t>4</w:t>
      </w:r>
      <w:r w:rsidRPr="00284DF7">
        <w:rPr>
          <w:rFonts w:ascii="Times New Roman" w:hAnsi="Times New Roman"/>
          <w:sz w:val="24"/>
          <w:szCs w:val="24"/>
          <w:lang w:val="ru-RU"/>
        </w:rPr>
        <w:t xml:space="preserve"> – универсальный инструмент капитализации мер энергоэффективности и энергосбережения.</w:t>
      </w:r>
    </w:p>
    <w:p w:rsidR="00C7795B" w:rsidRPr="00C7795B"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предполагается, что уже введенные меры и планируемые малоэффективны или вовсе неэффективны.</w:t>
      </w:r>
    </w:p>
    <w:p w:rsidR="00C7795B" w:rsidRPr="000D19A3"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 xml:space="preserve">6. Система внутренней торговли косвенный, но эффективный и изящный инструмент осуществления государственной экономической, промышленной политики. </w:t>
      </w:r>
    </w:p>
    <w:p w:rsidR="00C7795B" w:rsidRPr="000D19A3"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xml:space="preserve">: этот инструмент несколько более сложен или непривычен, по сравнению </w:t>
      </w:r>
      <w:proofErr w:type="gramStart"/>
      <w:r w:rsidRPr="00284DF7">
        <w:rPr>
          <w:rFonts w:ascii="Times New Roman" w:hAnsi="Times New Roman"/>
          <w:sz w:val="24"/>
          <w:szCs w:val="24"/>
          <w:lang w:val="ru-RU"/>
        </w:rPr>
        <w:t>в</w:t>
      </w:r>
      <w:proofErr w:type="gramEnd"/>
      <w:r w:rsidRPr="00284DF7">
        <w:rPr>
          <w:rFonts w:ascii="Times New Roman" w:hAnsi="Times New Roman"/>
          <w:sz w:val="24"/>
          <w:szCs w:val="24"/>
          <w:lang w:val="ru-RU"/>
        </w:rPr>
        <w:t xml:space="preserve"> применяемыми методами. </w:t>
      </w:r>
    </w:p>
    <w:p w:rsidR="00C7795B" w:rsidRPr="000D19A3" w:rsidRDefault="00284DF7" w:rsidP="008F24DC">
      <w:pPr>
        <w:spacing w:after="120" w:line="240" w:lineRule="auto"/>
        <w:ind w:firstLine="567"/>
        <w:jc w:val="both"/>
        <w:rPr>
          <w:rFonts w:ascii="Times New Roman" w:hAnsi="Times New Roman"/>
          <w:sz w:val="24"/>
          <w:szCs w:val="24"/>
          <w:lang w:val="ru-RU"/>
        </w:rPr>
      </w:pPr>
      <w:r w:rsidRPr="00284DF7">
        <w:rPr>
          <w:rFonts w:ascii="Times New Roman" w:hAnsi="Times New Roman"/>
          <w:sz w:val="24"/>
          <w:szCs w:val="24"/>
          <w:lang w:val="ru-RU"/>
        </w:rPr>
        <w:t xml:space="preserve">7. Сокращение внутреннего потребление углеводородного топлива повышает соответствующий экспортный потенциал России, как российскую, так и международную энергетическую безопасность. </w:t>
      </w:r>
    </w:p>
    <w:p w:rsidR="00284DF7" w:rsidRPr="00284DF7" w:rsidRDefault="00284DF7" w:rsidP="008F24DC">
      <w:pPr>
        <w:spacing w:after="120" w:line="240" w:lineRule="auto"/>
        <w:ind w:firstLine="567"/>
        <w:jc w:val="both"/>
        <w:rPr>
          <w:rFonts w:ascii="Times New Roman" w:hAnsi="Times New Roman"/>
          <w:sz w:val="24"/>
          <w:szCs w:val="24"/>
          <w:lang w:val="ru-RU"/>
        </w:rPr>
      </w:pPr>
      <w:proofErr w:type="spellStart"/>
      <w:r w:rsidRPr="007B6C01">
        <w:rPr>
          <w:rFonts w:ascii="Times New Roman" w:hAnsi="Times New Roman"/>
          <w:i/>
          <w:sz w:val="24"/>
          <w:szCs w:val="24"/>
          <w:lang w:val="ru-RU"/>
        </w:rPr>
        <w:t>Contra</w:t>
      </w:r>
      <w:proofErr w:type="spellEnd"/>
      <w:r w:rsidRPr="00284DF7">
        <w:rPr>
          <w:rFonts w:ascii="Times New Roman" w:hAnsi="Times New Roman"/>
          <w:sz w:val="24"/>
          <w:szCs w:val="24"/>
          <w:lang w:val="ru-RU"/>
        </w:rPr>
        <w:t>: Россия в любом случае экспортирует такой объем углеводородов, на который есть спрос при сохранении высоких рыночных цен, и ее энергетической безопасности ничто не грозит.</w:t>
      </w:r>
    </w:p>
    <w:p w:rsidR="008F24DC" w:rsidRPr="008F24DC" w:rsidRDefault="00C7795B"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Суммируя, с</w:t>
      </w:r>
      <w:r w:rsidR="008F24DC" w:rsidRPr="008F24DC">
        <w:rPr>
          <w:rFonts w:ascii="Times New Roman" w:hAnsi="Times New Roman"/>
          <w:sz w:val="24"/>
          <w:szCs w:val="24"/>
          <w:lang w:val="ru-RU"/>
        </w:rPr>
        <w:t>ледующие мотивы и цели представляются приоритетными:</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Выполнение международных обязательств России по ограничению парниковых выбросов по  Рамочной Конвенц</w:t>
      </w:r>
      <w:proofErr w:type="gramStart"/>
      <w:r w:rsidRPr="008F24DC">
        <w:rPr>
          <w:rFonts w:ascii="Times New Roman" w:hAnsi="Times New Roman"/>
          <w:sz w:val="24"/>
          <w:szCs w:val="24"/>
          <w:lang w:val="ru-RU"/>
        </w:rPr>
        <w:t>ии ОО</w:t>
      </w:r>
      <w:proofErr w:type="gramEnd"/>
      <w:r w:rsidRPr="008F24DC">
        <w:rPr>
          <w:rFonts w:ascii="Times New Roman" w:hAnsi="Times New Roman"/>
          <w:sz w:val="24"/>
          <w:szCs w:val="24"/>
          <w:lang w:val="ru-RU"/>
        </w:rPr>
        <w:t>Н об изменении климата наиболее экономичным способом;</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 xml:space="preserve">Снижение промышленных выбросов, обоснованное тем, что любые промышленные выбросы, в том числе и  нерегулируемых, ненормированных газов (углекислый газ), вредны, хотя бы потому, что неизбежно сопровождаются попутным выбросом вредных и нормируемых веществ;  </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Защита экономических интересов России, российских компаний, прямо или косвенно подвергающихся воздействию международного или иностранного регулирования парниковых выбросов;</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 xml:space="preserve">Повышение эффективности использования ископаемого топлива, стимулирование энергоэффективности, энергосбережения, диверсификация источников энергии в пользу менее экологически вредных и возобновляемых. Это повышает экспортный потенциал России и во внешнем мире, в первую </w:t>
      </w:r>
      <w:r w:rsidRPr="008F24DC">
        <w:rPr>
          <w:rFonts w:ascii="Times New Roman" w:hAnsi="Times New Roman"/>
          <w:sz w:val="24"/>
          <w:szCs w:val="24"/>
          <w:lang w:val="ru-RU"/>
        </w:rPr>
        <w:lastRenderedPageBreak/>
        <w:t>очередь, в США воспринимается как движение в сторону укрепления глобальной энергетической безопасности;</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 xml:space="preserve">Введение системы рыночного регулирования  парниковых эмиссий позволит перевести масштабные, но остающиеся во многом декларативными цели (такие, как снижение энергоемкости ВВП, ускоренное развитие </w:t>
      </w:r>
      <w:proofErr w:type="spellStart"/>
      <w:r w:rsidRPr="008F24DC">
        <w:rPr>
          <w:rFonts w:ascii="Times New Roman" w:hAnsi="Times New Roman"/>
          <w:sz w:val="24"/>
          <w:szCs w:val="24"/>
          <w:lang w:val="ru-RU"/>
        </w:rPr>
        <w:t>ВИЭ</w:t>
      </w:r>
      <w:proofErr w:type="spellEnd"/>
      <w:r w:rsidRPr="008F24DC">
        <w:rPr>
          <w:rFonts w:ascii="Times New Roman" w:hAnsi="Times New Roman"/>
          <w:sz w:val="24"/>
          <w:szCs w:val="24"/>
          <w:lang w:val="ru-RU"/>
        </w:rPr>
        <w:t>) в разряд реально осуществимых. Рынок атмосферных эмиссий CO2 и CH4 – универсальный инструмент капитализации мер энергоэффективности и энергосбережения;</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 xml:space="preserve">При создании строгой и прозрачной модели система внутренней торговли станет эффективным шлюзом для инвестиций в инновационные, экологические проекты, проекты возобновляемой энергетики, в том числе с внешних «углеродных» рынков;   </w:t>
      </w:r>
    </w:p>
    <w:p w:rsidR="008F24DC" w:rsidRPr="008F24DC" w:rsidRDefault="008F24DC" w:rsidP="00423C7B">
      <w:pPr>
        <w:numPr>
          <w:ilvl w:val="0"/>
          <w:numId w:val="11"/>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Система рыночного регулирования парниковых выбросов эффективный инструмент осуществления государственной энергетической, промышленной политики.</w:t>
      </w:r>
    </w:p>
    <w:p w:rsidR="007B6C01" w:rsidRDefault="007B6C01" w:rsidP="00641FAD">
      <w:pPr>
        <w:spacing w:after="120" w:line="240" w:lineRule="auto"/>
        <w:rPr>
          <w:rFonts w:ascii="Times New Roman" w:hAnsi="Times New Roman"/>
          <w:b/>
          <w:i/>
          <w:sz w:val="24"/>
          <w:szCs w:val="24"/>
          <w:lang w:val="ru-RU"/>
        </w:rPr>
      </w:pPr>
    </w:p>
    <w:p w:rsidR="008F24DC" w:rsidRPr="00641FAD" w:rsidRDefault="009D3276" w:rsidP="00641FAD">
      <w:pPr>
        <w:spacing w:after="120" w:line="240" w:lineRule="auto"/>
        <w:rPr>
          <w:rFonts w:ascii="Times New Roman" w:hAnsi="Times New Roman"/>
          <w:b/>
          <w:i/>
          <w:sz w:val="24"/>
          <w:szCs w:val="24"/>
          <w:lang w:val="ru-RU"/>
        </w:rPr>
      </w:pPr>
      <w:r w:rsidRPr="00641FAD">
        <w:rPr>
          <w:rFonts w:ascii="Times New Roman" w:hAnsi="Times New Roman"/>
          <w:b/>
          <w:i/>
          <w:sz w:val="24"/>
          <w:szCs w:val="24"/>
          <w:lang w:val="ru-RU"/>
        </w:rPr>
        <w:t xml:space="preserve"> </w:t>
      </w:r>
      <w:r w:rsidR="007B6C01">
        <w:rPr>
          <w:rFonts w:ascii="Times New Roman" w:hAnsi="Times New Roman"/>
          <w:b/>
          <w:i/>
          <w:sz w:val="24"/>
          <w:szCs w:val="24"/>
          <w:lang w:val="ru-RU"/>
        </w:rPr>
        <w:t>Неко</w:t>
      </w:r>
      <w:r w:rsidR="00AB5C17">
        <w:rPr>
          <w:rFonts w:ascii="Times New Roman" w:hAnsi="Times New Roman"/>
          <w:b/>
          <w:i/>
          <w:sz w:val="24"/>
          <w:szCs w:val="24"/>
          <w:lang w:val="ru-RU"/>
        </w:rPr>
        <w:t>торые основные черты и принципы, осуществимые в российских условиях</w:t>
      </w:r>
    </w:p>
    <w:p w:rsidR="008F24DC" w:rsidRPr="008F24DC" w:rsidRDefault="00AB5C17"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Н</w:t>
      </w:r>
      <w:r w:rsidRPr="008F24DC">
        <w:rPr>
          <w:rFonts w:ascii="Times New Roman" w:hAnsi="Times New Roman"/>
          <w:sz w:val="24"/>
          <w:szCs w:val="24"/>
          <w:lang w:val="ru-RU"/>
        </w:rPr>
        <w:t xml:space="preserve">а первом этапе </w:t>
      </w:r>
      <w:r w:rsidR="008F24DC" w:rsidRPr="008F24DC">
        <w:rPr>
          <w:rFonts w:ascii="Times New Roman" w:hAnsi="Times New Roman"/>
          <w:sz w:val="24"/>
          <w:szCs w:val="24"/>
          <w:lang w:val="ru-RU"/>
        </w:rPr>
        <w:t xml:space="preserve">рыночного регулирования </w:t>
      </w:r>
      <w:r>
        <w:rPr>
          <w:rFonts w:ascii="Times New Roman" w:hAnsi="Times New Roman"/>
          <w:sz w:val="24"/>
          <w:szCs w:val="24"/>
          <w:lang w:val="ru-RU"/>
        </w:rPr>
        <w:t xml:space="preserve">целесообразно включение в механизмы </w:t>
      </w:r>
      <w:r w:rsidR="008F24DC" w:rsidRPr="008F24DC">
        <w:rPr>
          <w:rFonts w:ascii="Times New Roman" w:hAnsi="Times New Roman"/>
          <w:sz w:val="24"/>
          <w:szCs w:val="24"/>
          <w:lang w:val="ru-RU"/>
        </w:rPr>
        <w:t>только углекислого газа и метана</w:t>
      </w:r>
      <w:r>
        <w:rPr>
          <w:rFonts w:ascii="Times New Roman" w:hAnsi="Times New Roman"/>
          <w:sz w:val="24"/>
          <w:szCs w:val="24"/>
          <w:lang w:val="ru-RU"/>
        </w:rPr>
        <w:t>. Это</w:t>
      </w:r>
      <w:r w:rsidR="008F24DC" w:rsidRPr="008F24DC">
        <w:rPr>
          <w:rFonts w:ascii="Times New Roman" w:hAnsi="Times New Roman"/>
          <w:sz w:val="24"/>
          <w:szCs w:val="24"/>
          <w:lang w:val="ru-RU"/>
        </w:rPr>
        <w:t xml:space="preserve"> будет полностью соответствовать задачам политики энергоэффективности, избавит от возможных сомнений в спекулятивности системы, связанных с промышленными газами с высокими коэффициентами глобального потепления, и в целом упростит достижение первичных целей без особого ущерба их экологической целостности. </w:t>
      </w:r>
    </w:p>
    <w:p w:rsidR="00AB5C17"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Существуют две принципиальные схемы действия рыночного механизма: квотирование с правом торговли квотами (</w:t>
      </w:r>
      <w:r w:rsidR="00650F72">
        <w:rPr>
          <w:rFonts w:ascii="Times New Roman" w:hAnsi="Times New Roman"/>
          <w:sz w:val="24"/>
          <w:szCs w:val="24"/>
        </w:rPr>
        <w:t>cap</w:t>
      </w:r>
      <w:r w:rsidR="00650F72" w:rsidRPr="00650F72">
        <w:rPr>
          <w:rFonts w:ascii="Times New Roman" w:hAnsi="Times New Roman"/>
          <w:sz w:val="24"/>
          <w:szCs w:val="24"/>
          <w:lang w:val="ru-RU"/>
        </w:rPr>
        <w:t xml:space="preserve"> </w:t>
      </w:r>
      <w:r w:rsidR="00650F72">
        <w:rPr>
          <w:rFonts w:ascii="Times New Roman" w:hAnsi="Times New Roman"/>
          <w:sz w:val="24"/>
          <w:szCs w:val="24"/>
        </w:rPr>
        <w:t>and</w:t>
      </w:r>
      <w:r w:rsidR="00650F72" w:rsidRPr="00650F72">
        <w:rPr>
          <w:rFonts w:ascii="Times New Roman" w:hAnsi="Times New Roman"/>
          <w:sz w:val="24"/>
          <w:szCs w:val="24"/>
          <w:lang w:val="ru-RU"/>
        </w:rPr>
        <w:t xml:space="preserve"> </w:t>
      </w:r>
      <w:r w:rsidR="00650F72">
        <w:rPr>
          <w:rFonts w:ascii="Times New Roman" w:hAnsi="Times New Roman"/>
          <w:sz w:val="24"/>
          <w:szCs w:val="24"/>
        </w:rPr>
        <w:t>trade</w:t>
      </w:r>
      <w:r w:rsidRPr="008F24DC">
        <w:rPr>
          <w:rFonts w:ascii="Times New Roman" w:hAnsi="Times New Roman"/>
          <w:sz w:val="24"/>
          <w:szCs w:val="24"/>
          <w:lang w:val="ru-RU"/>
        </w:rPr>
        <w:t>), программы, основанные на компенсационных кредитах или замещающих сокращениях (</w:t>
      </w:r>
      <w:proofErr w:type="spellStart"/>
      <w:r w:rsidRPr="008F24DC">
        <w:rPr>
          <w:rFonts w:ascii="Times New Roman" w:hAnsi="Times New Roman"/>
          <w:sz w:val="24"/>
          <w:szCs w:val="24"/>
          <w:lang w:val="ru-RU"/>
        </w:rPr>
        <w:t>off-set</w:t>
      </w:r>
      <w:proofErr w:type="spellEnd"/>
      <w:r w:rsidRPr="008F24DC">
        <w:rPr>
          <w:rFonts w:ascii="Times New Roman" w:hAnsi="Times New Roman"/>
          <w:sz w:val="24"/>
          <w:szCs w:val="24"/>
          <w:lang w:val="ru-RU"/>
        </w:rPr>
        <w:t xml:space="preserve"> </w:t>
      </w:r>
      <w:proofErr w:type="spellStart"/>
      <w:r w:rsidRPr="008F24DC">
        <w:rPr>
          <w:rFonts w:ascii="Times New Roman" w:hAnsi="Times New Roman"/>
          <w:sz w:val="24"/>
          <w:szCs w:val="24"/>
          <w:lang w:val="ru-RU"/>
        </w:rPr>
        <w:t>credit</w:t>
      </w:r>
      <w:proofErr w:type="spellEnd"/>
      <w:r w:rsidRPr="008F24DC">
        <w:rPr>
          <w:rFonts w:ascii="Times New Roman" w:hAnsi="Times New Roman"/>
          <w:sz w:val="24"/>
          <w:szCs w:val="24"/>
          <w:lang w:val="ru-RU"/>
        </w:rPr>
        <w:t xml:space="preserve"> </w:t>
      </w:r>
      <w:proofErr w:type="spellStart"/>
      <w:r w:rsidRPr="008F24DC">
        <w:rPr>
          <w:rFonts w:ascii="Times New Roman" w:hAnsi="Times New Roman"/>
          <w:sz w:val="24"/>
          <w:szCs w:val="24"/>
          <w:lang w:val="ru-RU"/>
        </w:rPr>
        <w:t>programs</w:t>
      </w:r>
      <w:proofErr w:type="spellEnd"/>
      <w:r w:rsidRPr="008F24DC">
        <w:rPr>
          <w:rFonts w:ascii="Times New Roman" w:hAnsi="Times New Roman"/>
          <w:sz w:val="24"/>
          <w:szCs w:val="24"/>
          <w:lang w:val="ru-RU"/>
        </w:rPr>
        <w:t>).</w:t>
      </w:r>
    </w:p>
    <w:p w:rsidR="00AB5C17"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 Первая схема</w:t>
      </w:r>
      <w:r w:rsidR="00AB5C17">
        <w:rPr>
          <w:rFonts w:ascii="Times New Roman" w:hAnsi="Times New Roman"/>
          <w:sz w:val="24"/>
          <w:szCs w:val="24"/>
          <w:lang w:val="ru-RU"/>
        </w:rPr>
        <w:t xml:space="preserve"> (</w:t>
      </w:r>
      <w:proofErr w:type="spellStart"/>
      <w:r w:rsidR="00AB5C17" w:rsidRPr="008F24DC">
        <w:rPr>
          <w:rFonts w:ascii="Times New Roman" w:hAnsi="Times New Roman"/>
          <w:sz w:val="24"/>
          <w:szCs w:val="24"/>
          <w:lang w:val="ru-RU"/>
        </w:rPr>
        <w:t>cap</w:t>
      </w:r>
      <w:proofErr w:type="spellEnd"/>
      <w:r w:rsidR="00AB5C17" w:rsidRPr="008F24DC">
        <w:rPr>
          <w:rFonts w:ascii="Times New Roman" w:hAnsi="Times New Roman"/>
          <w:sz w:val="24"/>
          <w:szCs w:val="24"/>
          <w:lang w:val="ru-RU"/>
        </w:rPr>
        <w:t xml:space="preserve"> </w:t>
      </w:r>
      <w:proofErr w:type="spellStart"/>
      <w:r w:rsidR="00AB5C17" w:rsidRPr="008F24DC">
        <w:rPr>
          <w:rFonts w:ascii="Times New Roman" w:hAnsi="Times New Roman"/>
          <w:sz w:val="24"/>
          <w:szCs w:val="24"/>
          <w:lang w:val="ru-RU"/>
        </w:rPr>
        <w:t>and</w:t>
      </w:r>
      <w:proofErr w:type="spellEnd"/>
      <w:r w:rsidR="00AB5C17" w:rsidRPr="008F24DC">
        <w:rPr>
          <w:rFonts w:ascii="Times New Roman" w:hAnsi="Times New Roman"/>
          <w:sz w:val="24"/>
          <w:szCs w:val="24"/>
          <w:lang w:val="ru-RU"/>
        </w:rPr>
        <w:t xml:space="preserve"> </w:t>
      </w:r>
      <w:proofErr w:type="spellStart"/>
      <w:r w:rsidR="00AB5C17" w:rsidRPr="008F24DC">
        <w:rPr>
          <w:rFonts w:ascii="Times New Roman" w:hAnsi="Times New Roman"/>
          <w:sz w:val="24"/>
          <w:szCs w:val="24"/>
          <w:lang w:val="ru-RU"/>
        </w:rPr>
        <w:t>trade</w:t>
      </w:r>
      <w:proofErr w:type="spellEnd"/>
      <w:r w:rsidR="00AB5C17">
        <w:rPr>
          <w:rFonts w:ascii="Times New Roman" w:hAnsi="Times New Roman"/>
          <w:sz w:val="24"/>
          <w:szCs w:val="24"/>
          <w:lang w:val="ru-RU"/>
        </w:rPr>
        <w:t>), как было показано выше, весьма сложна и практически</w:t>
      </w:r>
      <w:r w:rsidRPr="008F24DC">
        <w:rPr>
          <w:rFonts w:ascii="Times New Roman" w:hAnsi="Times New Roman"/>
          <w:sz w:val="24"/>
          <w:szCs w:val="24"/>
          <w:lang w:val="ru-RU"/>
        </w:rPr>
        <w:t xml:space="preserve"> </w:t>
      </w:r>
      <w:r w:rsidR="00AB5C17">
        <w:rPr>
          <w:rFonts w:ascii="Times New Roman" w:hAnsi="Times New Roman"/>
          <w:sz w:val="24"/>
          <w:szCs w:val="24"/>
          <w:lang w:val="ru-RU"/>
        </w:rPr>
        <w:t xml:space="preserve">осуществима лишь в результате эволюционного развития рыночных механизмов. Она </w:t>
      </w:r>
      <w:r w:rsidRPr="008F24DC">
        <w:rPr>
          <w:rFonts w:ascii="Times New Roman" w:hAnsi="Times New Roman"/>
          <w:sz w:val="24"/>
          <w:szCs w:val="24"/>
          <w:lang w:val="ru-RU"/>
        </w:rPr>
        <w:t>по определению должна носить обязательный характер с по</w:t>
      </w:r>
      <w:r w:rsidR="00AB5C17">
        <w:rPr>
          <w:rFonts w:ascii="Times New Roman" w:hAnsi="Times New Roman"/>
          <w:sz w:val="24"/>
          <w:szCs w:val="24"/>
          <w:lang w:val="ru-RU"/>
        </w:rPr>
        <w:t>дкреплением штрафными санкциями.</w:t>
      </w:r>
      <w:r w:rsidRPr="008F24DC">
        <w:rPr>
          <w:rFonts w:ascii="Times New Roman" w:hAnsi="Times New Roman"/>
          <w:sz w:val="24"/>
          <w:szCs w:val="24"/>
          <w:lang w:val="ru-RU"/>
        </w:rPr>
        <w:t xml:space="preserve"> </w:t>
      </w:r>
    </w:p>
    <w:p w:rsidR="00AB5C17" w:rsidRDefault="00AB5C17"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w:t>
      </w:r>
      <w:r w:rsidR="008F24DC" w:rsidRPr="008F24DC">
        <w:rPr>
          <w:rFonts w:ascii="Times New Roman" w:hAnsi="Times New Roman"/>
          <w:sz w:val="24"/>
          <w:szCs w:val="24"/>
          <w:lang w:val="ru-RU"/>
        </w:rPr>
        <w:t>торая</w:t>
      </w:r>
      <w:r>
        <w:rPr>
          <w:rFonts w:ascii="Times New Roman" w:hAnsi="Times New Roman"/>
          <w:sz w:val="24"/>
          <w:szCs w:val="24"/>
          <w:lang w:val="ru-RU"/>
        </w:rPr>
        <w:t xml:space="preserve"> схема</w:t>
      </w:r>
      <w:r w:rsidR="008F24DC" w:rsidRPr="008F24DC">
        <w:rPr>
          <w:rFonts w:ascii="Times New Roman" w:hAnsi="Times New Roman"/>
          <w:sz w:val="24"/>
          <w:szCs w:val="24"/>
          <w:lang w:val="ru-RU"/>
        </w:rPr>
        <w:t xml:space="preserve"> может быть добровольной при условии обязательного следования жестким стандартам, критериям соответствия при осуществлении мероприятий по сокращению выбросов</w:t>
      </w:r>
      <w:r>
        <w:rPr>
          <w:rFonts w:ascii="Times New Roman" w:hAnsi="Times New Roman"/>
          <w:sz w:val="24"/>
          <w:szCs w:val="24"/>
          <w:lang w:val="ru-RU"/>
        </w:rPr>
        <w:t>, их верификации, сертификации и проч.</w:t>
      </w:r>
      <w:r w:rsidR="008F24DC" w:rsidRPr="008F24DC">
        <w:rPr>
          <w:rFonts w:ascii="Times New Roman" w:hAnsi="Times New Roman"/>
          <w:sz w:val="24"/>
          <w:szCs w:val="24"/>
          <w:lang w:val="ru-RU"/>
        </w:rPr>
        <w:t xml:space="preserve"> </w:t>
      </w:r>
    </w:p>
    <w:p w:rsidR="00B16739"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Все системы квотирования предусматривают возможность доступа для компенсационных кредитов, соответствующих определенным требованиям, в целях увеличения объема предложения, объема рынка и снижения среднерыночной цены квот, снижения общих затрат на достижение экологических целей системы.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Таким образом, эти две модели являются взаимодополняющими, но если системы квотирования в принципе могут существовать и без компенсационных кредитов, то генерация компенсационных кредитов без доступа в системы квотирования является бессмысленной, как предложение без спроса. </w:t>
      </w:r>
    </w:p>
    <w:p w:rsid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Полномасштабное и единовременное введение обязательной системы торговли атмосферными эмиссиями в России представляется не только нереалистичным, но и рискованным. Оно неизбежно было бы отягощено ошибками и перекосами с непредсказуемыми последствиями, </w:t>
      </w:r>
      <w:r w:rsidR="009D3276">
        <w:rPr>
          <w:rFonts w:ascii="Times New Roman" w:hAnsi="Times New Roman"/>
          <w:sz w:val="24"/>
          <w:szCs w:val="24"/>
          <w:lang w:val="ru-RU"/>
        </w:rPr>
        <w:t>как это случилось, например, с Е</w:t>
      </w:r>
      <w:r w:rsidRPr="008F24DC">
        <w:rPr>
          <w:rFonts w:ascii="Times New Roman" w:hAnsi="Times New Roman"/>
          <w:sz w:val="24"/>
          <w:szCs w:val="24"/>
          <w:lang w:val="ru-RU"/>
        </w:rPr>
        <w:t>вропейской системой торговли в 2005 – 20</w:t>
      </w:r>
      <w:r w:rsidR="00B4062B">
        <w:rPr>
          <w:rFonts w:ascii="Times New Roman" w:hAnsi="Times New Roman"/>
          <w:sz w:val="24"/>
          <w:szCs w:val="24"/>
          <w:lang w:val="ru-RU"/>
        </w:rPr>
        <w:t>0</w:t>
      </w:r>
      <w:r w:rsidRPr="008F24DC">
        <w:rPr>
          <w:rFonts w:ascii="Times New Roman" w:hAnsi="Times New Roman"/>
          <w:sz w:val="24"/>
          <w:szCs w:val="24"/>
          <w:lang w:val="ru-RU"/>
        </w:rPr>
        <w:t xml:space="preserve">7 гг., когда избыточное распределение квот привело к падению цен до уровня арифметической погрешности. Поэтому практичней было бы воспользоваться </w:t>
      </w:r>
      <w:r w:rsidRPr="008F24DC">
        <w:rPr>
          <w:rFonts w:ascii="Times New Roman" w:hAnsi="Times New Roman"/>
          <w:sz w:val="24"/>
          <w:szCs w:val="24"/>
          <w:lang w:val="ru-RU"/>
        </w:rPr>
        <w:lastRenderedPageBreak/>
        <w:t xml:space="preserve">историческим опытом административных экспериментов, возможно, с добровольным участием на первом этапе. Принципиальное отличие таких административных экспериментов от добровольных систем заключается в том, что его ход и результаты фиксируются государственным регулирующим органом и наследуются последующими обязательными системами. </w:t>
      </w:r>
    </w:p>
    <w:p w:rsidR="00B16739" w:rsidRDefault="00E14A7E" w:rsidP="008F24DC">
      <w:pPr>
        <w:spacing w:after="120" w:line="240" w:lineRule="auto"/>
        <w:ind w:firstLine="567"/>
        <w:jc w:val="both"/>
        <w:rPr>
          <w:rFonts w:ascii="Times New Roman" w:hAnsi="Times New Roman"/>
          <w:sz w:val="24"/>
          <w:szCs w:val="24"/>
          <w:lang w:val="ru-RU"/>
        </w:rPr>
      </w:pPr>
      <w:proofErr w:type="gramStart"/>
      <w:r w:rsidRPr="00E14A7E">
        <w:rPr>
          <w:rFonts w:ascii="Times New Roman" w:hAnsi="Times New Roman"/>
          <w:sz w:val="24"/>
          <w:szCs w:val="24"/>
          <w:lang w:val="ru-RU"/>
        </w:rPr>
        <w:t xml:space="preserve">Некоторые сомнения и настороженность вызывает </w:t>
      </w:r>
      <w:r w:rsidR="000371AB" w:rsidRPr="00E14A7E">
        <w:rPr>
          <w:rFonts w:ascii="Times New Roman" w:hAnsi="Times New Roman"/>
          <w:sz w:val="24"/>
          <w:szCs w:val="24"/>
          <w:lang w:val="ru-RU"/>
        </w:rPr>
        <w:t>м</w:t>
      </w:r>
      <w:r w:rsidR="000371AB">
        <w:rPr>
          <w:rFonts w:ascii="Times New Roman" w:hAnsi="Times New Roman"/>
          <w:sz w:val="24"/>
          <w:szCs w:val="24"/>
          <w:lang w:val="ru-RU"/>
        </w:rPr>
        <w:t>одель</w:t>
      </w:r>
      <w:r w:rsidR="000371AB" w:rsidRPr="00E14A7E">
        <w:rPr>
          <w:rFonts w:ascii="Times New Roman" w:hAnsi="Times New Roman"/>
          <w:sz w:val="24"/>
          <w:szCs w:val="24"/>
          <w:lang w:val="ru-RU"/>
        </w:rPr>
        <w:t xml:space="preserve"> </w:t>
      </w:r>
      <w:r w:rsidR="000371AB">
        <w:rPr>
          <w:rFonts w:ascii="Times New Roman" w:hAnsi="Times New Roman"/>
          <w:sz w:val="24"/>
          <w:szCs w:val="24"/>
          <w:lang w:val="ru-RU"/>
        </w:rPr>
        <w:t>представленная</w:t>
      </w:r>
      <w:r w:rsidRPr="00E14A7E">
        <w:rPr>
          <w:rFonts w:ascii="Times New Roman" w:hAnsi="Times New Roman"/>
          <w:sz w:val="24"/>
          <w:szCs w:val="24"/>
          <w:lang w:val="ru-RU"/>
        </w:rPr>
        <w:t xml:space="preserve"> Сбербанком</w:t>
      </w:r>
      <w:r w:rsidR="000371AB">
        <w:rPr>
          <w:rFonts w:ascii="Times New Roman" w:hAnsi="Times New Roman"/>
          <w:sz w:val="24"/>
          <w:szCs w:val="24"/>
          <w:lang w:val="ru-RU"/>
        </w:rPr>
        <w:t xml:space="preserve"> к Заседанию Комиссии по модернизации и технологическому развитию</w:t>
      </w:r>
      <w:r w:rsidR="00B16739">
        <w:rPr>
          <w:rFonts w:ascii="Times New Roman" w:hAnsi="Times New Roman"/>
          <w:sz w:val="24"/>
          <w:szCs w:val="24"/>
          <w:lang w:val="ru-RU"/>
        </w:rPr>
        <w:t xml:space="preserve"> при Президенте РФ 27 июня с.г.</w:t>
      </w:r>
      <w:r w:rsidR="000371AB">
        <w:rPr>
          <w:rFonts w:ascii="Times New Roman" w:hAnsi="Times New Roman"/>
          <w:sz w:val="24"/>
          <w:szCs w:val="24"/>
          <w:lang w:val="ru-RU"/>
        </w:rPr>
        <w:t xml:space="preserve"> </w:t>
      </w:r>
      <w:r w:rsidR="00B16739">
        <w:rPr>
          <w:rFonts w:ascii="Times New Roman" w:hAnsi="Times New Roman"/>
          <w:sz w:val="24"/>
          <w:szCs w:val="24"/>
          <w:lang w:val="ru-RU"/>
        </w:rPr>
        <w:t>Она предполагает, что</w:t>
      </w:r>
      <w:r w:rsidRPr="00E14A7E">
        <w:rPr>
          <w:rFonts w:ascii="Times New Roman" w:hAnsi="Times New Roman"/>
          <w:sz w:val="24"/>
          <w:szCs w:val="24"/>
          <w:lang w:val="ru-RU"/>
        </w:rPr>
        <w:t xml:space="preserve"> бизнес разрабатывает модель поведения через введение самоограничений, демонстрирует ее эффективность</w:t>
      </w:r>
      <w:r w:rsidR="00B16739">
        <w:rPr>
          <w:rFonts w:ascii="Times New Roman" w:hAnsi="Times New Roman"/>
          <w:sz w:val="24"/>
          <w:szCs w:val="24"/>
          <w:lang w:val="ru-RU"/>
        </w:rPr>
        <w:t>,</w:t>
      </w:r>
      <w:r w:rsidRPr="00E14A7E">
        <w:rPr>
          <w:rFonts w:ascii="Times New Roman" w:hAnsi="Times New Roman"/>
          <w:sz w:val="24"/>
          <w:szCs w:val="24"/>
          <w:lang w:val="ru-RU"/>
        </w:rPr>
        <w:t xml:space="preserve"> </w:t>
      </w:r>
      <w:r w:rsidR="00B16739">
        <w:rPr>
          <w:rFonts w:ascii="Times New Roman" w:hAnsi="Times New Roman"/>
          <w:sz w:val="24"/>
          <w:szCs w:val="24"/>
          <w:lang w:val="ru-RU"/>
        </w:rPr>
        <w:t>а затем</w:t>
      </w:r>
      <w:r w:rsidRPr="00E14A7E">
        <w:rPr>
          <w:rFonts w:ascii="Times New Roman" w:hAnsi="Times New Roman"/>
          <w:sz w:val="24"/>
          <w:szCs w:val="24"/>
          <w:lang w:val="ru-RU"/>
        </w:rPr>
        <w:t xml:space="preserve">, доказав эффективность своих действий, предлагает государству наделить </w:t>
      </w:r>
      <w:r w:rsidR="00B16739">
        <w:rPr>
          <w:rFonts w:ascii="Times New Roman" w:hAnsi="Times New Roman"/>
          <w:sz w:val="24"/>
          <w:szCs w:val="24"/>
          <w:lang w:val="ru-RU"/>
        </w:rPr>
        <w:t xml:space="preserve">соответствующую </w:t>
      </w:r>
      <w:proofErr w:type="spellStart"/>
      <w:r w:rsidRPr="00E14A7E">
        <w:rPr>
          <w:rFonts w:ascii="Times New Roman" w:hAnsi="Times New Roman"/>
          <w:sz w:val="24"/>
          <w:szCs w:val="24"/>
          <w:lang w:val="ru-RU"/>
        </w:rPr>
        <w:t>СРО</w:t>
      </w:r>
      <w:proofErr w:type="spellEnd"/>
      <w:r w:rsidRPr="00E14A7E">
        <w:rPr>
          <w:rFonts w:ascii="Times New Roman" w:hAnsi="Times New Roman"/>
          <w:sz w:val="24"/>
          <w:szCs w:val="24"/>
          <w:lang w:val="ru-RU"/>
        </w:rPr>
        <w:t xml:space="preserve"> полномочиями эмиссии углеродных единиц. </w:t>
      </w:r>
      <w:proofErr w:type="gramEnd"/>
    </w:p>
    <w:p w:rsidR="00B16739" w:rsidRDefault="00E14A7E" w:rsidP="008F24DC">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t xml:space="preserve">Добровольные кредиты (сокращения), углеродные единицы, эмитированные неким </w:t>
      </w:r>
      <w:proofErr w:type="spellStart"/>
      <w:r w:rsidRPr="00E14A7E">
        <w:rPr>
          <w:rFonts w:ascii="Times New Roman" w:hAnsi="Times New Roman"/>
          <w:sz w:val="24"/>
          <w:szCs w:val="24"/>
          <w:lang w:val="ru-RU"/>
        </w:rPr>
        <w:t>СРО</w:t>
      </w:r>
      <w:proofErr w:type="spellEnd"/>
      <w:r w:rsidRPr="00E14A7E">
        <w:rPr>
          <w:rFonts w:ascii="Times New Roman" w:hAnsi="Times New Roman"/>
          <w:sz w:val="24"/>
          <w:szCs w:val="24"/>
          <w:lang w:val="ru-RU"/>
        </w:rPr>
        <w:t>, очень недорого стоят, а на обязательных углеродных рынках вообще не нужны.</w:t>
      </w:r>
    </w:p>
    <w:p w:rsidR="00B16739" w:rsidRDefault="00E14A7E" w:rsidP="008F24DC">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t xml:space="preserve"> Внутри страны они тоже никому не будут нужны, поскольку ни один нормальный бизнес не </w:t>
      </w:r>
      <w:r w:rsidR="00B16739">
        <w:rPr>
          <w:rFonts w:ascii="Times New Roman" w:hAnsi="Times New Roman"/>
          <w:sz w:val="24"/>
          <w:szCs w:val="24"/>
          <w:lang w:val="ru-RU"/>
        </w:rPr>
        <w:t>обременит</w:t>
      </w:r>
      <w:r w:rsidRPr="00E14A7E">
        <w:rPr>
          <w:rFonts w:ascii="Times New Roman" w:hAnsi="Times New Roman"/>
          <w:sz w:val="24"/>
          <w:szCs w:val="24"/>
          <w:lang w:val="ru-RU"/>
        </w:rPr>
        <w:t xml:space="preserve"> себя таки</w:t>
      </w:r>
      <w:r w:rsidR="00B16739">
        <w:rPr>
          <w:rFonts w:ascii="Times New Roman" w:hAnsi="Times New Roman"/>
          <w:sz w:val="24"/>
          <w:szCs w:val="24"/>
          <w:lang w:val="ru-RU"/>
        </w:rPr>
        <w:t>ми</w:t>
      </w:r>
      <w:r w:rsidRPr="00E14A7E">
        <w:rPr>
          <w:rFonts w:ascii="Times New Roman" w:hAnsi="Times New Roman"/>
          <w:sz w:val="24"/>
          <w:szCs w:val="24"/>
          <w:lang w:val="ru-RU"/>
        </w:rPr>
        <w:t xml:space="preserve"> самоограничения</w:t>
      </w:r>
      <w:r w:rsidR="00B16739">
        <w:rPr>
          <w:rFonts w:ascii="Times New Roman" w:hAnsi="Times New Roman"/>
          <w:sz w:val="24"/>
          <w:szCs w:val="24"/>
          <w:lang w:val="ru-RU"/>
        </w:rPr>
        <w:t>ми</w:t>
      </w:r>
      <w:r w:rsidRPr="00E14A7E">
        <w:rPr>
          <w:rFonts w:ascii="Times New Roman" w:hAnsi="Times New Roman"/>
          <w:sz w:val="24"/>
          <w:szCs w:val="24"/>
          <w:lang w:val="ru-RU"/>
        </w:rPr>
        <w:t xml:space="preserve">, чтобы стать нетто-покупателем. Вероятно, было бы разумным с самого начала решить для себя, что участие в рыночном механизме может быть добровольным, но лимиты не могут определяться на основе «самоограничения», а должны устанавливаться регулятором, который к </w:t>
      </w:r>
      <w:proofErr w:type="gramStart"/>
      <w:r w:rsidRPr="00E14A7E">
        <w:rPr>
          <w:rFonts w:ascii="Times New Roman" w:hAnsi="Times New Roman"/>
          <w:sz w:val="24"/>
          <w:szCs w:val="24"/>
          <w:lang w:val="ru-RU"/>
        </w:rPr>
        <w:t>тому</w:t>
      </w:r>
      <w:proofErr w:type="gramEnd"/>
      <w:r w:rsidRPr="00E14A7E">
        <w:rPr>
          <w:rFonts w:ascii="Times New Roman" w:hAnsi="Times New Roman"/>
          <w:sz w:val="24"/>
          <w:szCs w:val="24"/>
          <w:lang w:val="ru-RU"/>
        </w:rPr>
        <w:t xml:space="preserve"> же должен обладать серьезными рычагами контроля за исполнением обязательств, включая ощутимые штрафные санкции. </w:t>
      </w:r>
    </w:p>
    <w:p w:rsidR="00E14A7E" w:rsidRDefault="00E14A7E" w:rsidP="008F24DC">
      <w:pPr>
        <w:spacing w:after="120" w:line="240" w:lineRule="auto"/>
        <w:ind w:firstLine="567"/>
        <w:jc w:val="both"/>
        <w:rPr>
          <w:rFonts w:ascii="Times New Roman" w:hAnsi="Times New Roman"/>
          <w:sz w:val="24"/>
          <w:szCs w:val="24"/>
          <w:lang w:val="ru-RU"/>
        </w:rPr>
      </w:pPr>
      <w:r w:rsidRPr="00E14A7E">
        <w:rPr>
          <w:rFonts w:ascii="Times New Roman" w:hAnsi="Times New Roman"/>
          <w:sz w:val="24"/>
          <w:szCs w:val="24"/>
          <w:lang w:val="ru-RU"/>
        </w:rPr>
        <w:t xml:space="preserve">Только при таких условиях система будет иметь смысл как механизм государственной климатической, промышленной политики, политики энергоэффективности, развития </w:t>
      </w:r>
      <w:proofErr w:type="spellStart"/>
      <w:r w:rsidRPr="00E14A7E">
        <w:rPr>
          <w:rFonts w:ascii="Times New Roman" w:hAnsi="Times New Roman"/>
          <w:sz w:val="24"/>
          <w:szCs w:val="24"/>
          <w:lang w:val="ru-RU"/>
        </w:rPr>
        <w:t>ВИЭ</w:t>
      </w:r>
      <w:proofErr w:type="spellEnd"/>
      <w:r w:rsidRPr="00E14A7E">
        <w:rPr>
          <w:rFonts w:ascii="Times New Roman" w:hAnsi="Times New Roman"/>
          <w:sz w:val="24"/>
          <w:szCs w:val="24"/>
          <w:lang w:val="ru-RU"/>
        </w:rPr>
        <w:t>, а соответствующие рыночные инструменты будут пользоваться спросом.</w:t>
      </w:r>
    </w:p>
    <w:p w:rsidR="00B16739" w:rsidRDefault="002342AB" w:rsidP="002342AB">
      <w:pPr>
        <w:spacing w:after="120" w:line="240" w:lineRule="auto"/>
        <w:ind w:firstLine="567"/>
        <w:jc w:val="both"/>
        <w:rPr>
          <w:rFonts w:ascii="Times New Roman" w:hAnsi="Times New Roman"/>
          <w:sz w:val="24"/>
          <w:szCs w:val="24"/>
          <w:lang w:val="ru-RU"/>
        </w:rPr>
      </w:pPr>
      <w:r w:rsidRPr="002342AB">
        <w:rPr>
          <w:rFonts w:ascii="Times New Roman" w:hAnsi="Times New Roman"/>
          <w:sz w:val="24"/>
          <w:szCs w:val="24"/>
          <w:lang w:val="ru-RU"/>
        </w:rPr>
        <w:t xml:space="preserve">Говоря о внутренних, российских рыночных механизмах парниковых эмиссий, на первый взгляд, было бы резонным предложить развитие, расширение или, по крайней мере, продление действия единственного уже существующего механизма, т.е. механизма «совместного осуществления». </w:t>
      </w:r>
      <w:proofErr w:type="gramStart"/>
      <w:r w:rsidRPr="002342AB">
        <w:rPr>
          <w:rFonts w:ascii="Times New Roman" w:hAnsi="Times New Roman"/>
          <w:sz w:val="24"/>
          <w:szCs w:val="24"/>
          <w:lang w:val="ru-RU"/>
        </w:rPr>
        <w:t>Он уже включает фундаментальные элементы: независимую экспертизу, т.н. «детерминацию», реестр «углеродных» единиц, утверждение правительственным ведомством (регулятором), международные методики.</w:t>
      </w:r>
      <w:proofErr w:type="gramEnd"/>
    </w:p>
    <w:p w:rsidR="002342AB" w:rsidRDefault="002342AB" w:rsidP="002342AB">
      <w:pPr>
        <w:spacing w:after="120" w:line="240" w:lineRule="auto"/>
        <w:ind w:firstLine="567"/>
        <w:jc w:val="both"/>
        <w:rPr>
          <w:rFonts w:ascii="Times New Roman" w:hAnsi="Times New Roman"/>
          <w:sz w:val="24"/>
          <w:szCs w:val="24"/>
          <w:lang w:val="ru-RU"/>
        </w:rPr>
      </w:pPr>
      <w:r w:rsidRPr="002342AB">
        <w:rPr>
          <w:rFonts w:ascii="Times New Roman" w:hAnsi="Times New Roman"/>
          <w:sz w:val="24"/>
          <w:szCs w:val="24"/>
          <w:lang w:val="ru-RU"/>
        </w:rPr>
        <w:t xml:space="preserve"> Однако, во-первых, инженеры хорошо знают, что часто проще снести до основания старое и негодное, чтобы на его месте построить новое, чем реконструировать. Во-вторых, по некоторым причинам, и уже не так важно, по каким именно, </w:t>
      </w:r>
      <w:r>
        <w:rPr>
          <w:rFonts w:ascii="Times New Roman" w:hAnsi="Times New Roman"/>
          <w:sz w:val="24"/>
          <w:szCs w:val="24"/>
          <w:lang w:val="ru-RU"/>
        </w:rPr>
        <w:t>напоминания</w:t>
      </w:r>
      <w:r w:rsidRPr="002342AB">
        <w:rPr>
          <w:rFonts w:ascii="Times New Roman" w:hAnsi="Times New Roman"/>
          <w:sz w:val="24"/>
          <w:szCs w:val="24"/>
          <w:lang w:val="ru-RU"/>
        </w:rPr>
        <w:t xml:space="preserve"> о Киотском протоколе в России не способствуют ничему. Упоминания о нем, скорее, воздвигают некий психологический барьер, чем основания для обсуждения и действий по построению будущих</w:t>
      </w:r>
      <w:r>
        <w:rPr>
          <w:rFonts w:ascii="Times New Roman" w:hAnsi="Times New Roman"/>
          <w:sz w:val="24"/>
          <w:szCs w:val="24"/>
          <w:lang w:val="ru-RU"/>
        </w:rPr>
        <w:t xml:space="preserve"> </w:t>
      </w:r>
      <w:r w:rsidRPr="002342AB">
        <w:rPr>
          <w:rFonts w:ascii="Times New Roman" w:hAnsi="Times New Roman"/>
          <w:sz w:val="24"/>
          <w:szCs w:val="24"/>
          <w:lang w:val="ru-RU"/>
        </w:rPr>
        <w:t>перспективных</w:t>
      </w:r>
      <w:r>
        <w:rPr>
          <w:rFonts w:ascii="Times New Roman" w:hAnsi="Times New Roman"/>
          <w:sz w:val="24"/>
          <w:szCs w:val="24"/>
          <w:lang w:val="ru-RU"/>
        </w:rPr>
        <w:t xml:space="preserve"> </w:t>
      </w:r>
      <w:r w:rsidRPr="002342AB">
        <w:rPr>
          <w:rFonts w:ascii="Times New Roman" w:hAnsi="Times New Roman"/>
          <w:sz w:val="24"/>
          <w:szCs w:val="24"/>
          <w:lang w:val="ru-RU"/>
        </w:rPr>
        <w:t>моделей.</w:t>
      </w:r>
    </w:p>
    <w:p w:rsidR="002342AB" w:rsidRDefault="002342AB" w:rsidP="002342AB">
      <w:pPr>
        <w:spacing w:after="120" w:line="240" w:lineRule="auto"/>
        <w:ind w:firstLine="567"/>
        <w:jc w:val="both"/>
        <w:rPr>
          <w:rFonts w:ascii="Times New Roman" w:hAnsi="Times New Roman"/>
          <w:sz w:val="24"/>
          <w:szCs w:val="24"/>
          <w:lang w:val="ru-RU"/>
        </w:rPr>
      </w:pPr>
      <w:proofErr w:type="gramStart"/>
      <w:r w:rsidRPr="002342AB">
        <w:rPr>
          <w:rFonts w:ascii="Times New Roman" w:hAnsi="Times New Roman"/>
          <w:sz w:val="24"/>
          <w:szCs w:val="24"/>
          <w:lang w:val="ru-RU"/>
        </w:rPr>
        <w:t>Поэтому, возможно, разумным было бы различать две концепции, имея, конечно, в виду, что и та, и другая (и внутренний рыночный механизм, и механизм «совместного осуществления») о рыночных механизмах, и, по меньшей мере, некоторые основные элементы у них общие.</w:t>
      </w:r>
      <w:proofErr w:type="gramEnd"/>
    </w:p>
    <w:p w:rsidR="00B16739" w:rsidRDefault="002342AB" w:rsidP="002342AB">
      <w:pPr>
        <w:spacing w:after="120" w:line="240" w:lineRule="auto"/>
        <w:ind w:firstLine="567"/>
        <w:jc w:val="both"/>
        <w:rPr>
          <w:rFonts w:ascii="Times New Roman" w:hAnsi="Times New Roman"/>
          <w:sz w:val="24"/>
          <w:szCs w:val="24"/>
          <w:lang w:val="ru-RU"/>
        </w:rPr>
      </w:pPr>
      <w:r w:rsidRPr="002342AB">
        <w:rPr>
          <w:rFonts w:ascii="Times New Roman" w:hAnsi="Times New Roman"/>
          <w:sz w:val="24"/>
          <w:szCs w:val="24"/>
          <w:lang w:val="ru-RU"/>
        </w:rPr>
        <w:t xml:space="preserve"> «Совместному осуществлению» очень помогло бы продление срока действия ЕСВ на 2013 – 2014 гг., то есть до окончательного отчета Сторон по обязательствам первого бюджетного периода. </w:t>
      </w:r>
      <w:r>
        <w:rPr>
          <w:rFonts w:ascii="Times New Roman" w:hAnsi="Times New Roman"/>
          <w:sz w:val="24"/>
          <w:szCs w:val="24"/>
          <w:lang w:val="ru-RU"/>
        </w:rPr>
        <w:t>Р</w:t>
      </w:r>
      <w:r w:rsidRPr="002342AB">
        <w:rPr>
          <w:rFonts w:ascii="Times New Roman" w:hAnsi="Times New Roman"/>
          <w:sz w:val="24"/>
          <w:szCs w:val="24"/>
          <w:lang w:val="ru-RU"/>
        </w:rPr>
        <w:t>азработка нормативно-правовых основ применения механизмов Киотского протокола в</w:t>
      </w:r>
      <w:r>
        <w:rPr>
          <w:rFonts w:ascii="Times New Roman" w:hAnsi="Times New Roman"/>
          <w:sz w:val="24"/>
          <w:szCs w:val="24"/>
          <w:lang w:val="ru-RU"/>
        </w:rPr>
        <w:t xml:space="preserve"> России это процесс непрерывный.</w:t>
      </w:r>
      <w:r w:rsidRPr="002342AB">
        <w:rPr>
          <w:rFonts w:ascii="Times New Roman" w:hAnsi="Times New Roman"/>
          <w:sz w:val="24"/>
          <w:szCs w:val="24"/>
          <w:lang w:val="ru-RU"/>
        </w:rPr>
        <w:t xml:space="preserve"> </w:t>
      </w:r>
      <w:r>
        <w:rPr>
          <w:rFonts w:ascii="Times New Roman" w:hAnsi="Times New Roman"/>
          <w:sz w:val="24"/>
          <w:szCs w:val="24"/>
          <w:lang w:val="ru-RU"/>
        </w:rPr>
        <w:t>Но д</w:t>
      </w:r>
      <w:r w:rsidRPr="002342AB">
        <w:rPr>
          <w:rFonts w:ascii="Times New Roman" w:hAnsi="Times New Roman"/>
          <w:sz w:val="24"/>
          <w:szCs w:val="24"/>
          <w:lang w:val="ru-RU"/>
        </w:rPr>
        <w:t>олж</w:t>
      </w:r>
      <w:r>
        <w:rPr>
          <w:rFonts w:ascii="Times New Roman" w:hAnsi="Times New Roman"/>
          <w:sz w:val="24"/>
          <w:szCs w:val="24"/>
          <w:lang w:val="ru-RU"/>
        </w:rPr>
        <w:t>е</w:t>
      </w:r>
      <w:r w:rsidRPr="002342AB">
        <w:rPr>
          <w:rFonts w:ascii="Times New Roman" w:hAnsi="Times New Roman"/>
          <w:sz w:val="24"/>
          <w:szCs w:val="24"/>
          <w:lang w:val="ru-RU"/>
        </w:rPr>
        <w:t xml:space="preserve">н ли </w:t>
      </w:r>
      <w:r>
        <w:rPr>
          <w:rFonts w:ascii="Times New Roman" w:hAnsi="Times New Roman"/>
          <w:sz w:val="24"/>
          <w:szCs w:val="24"/>
          <w:lang w:val="ru-RU"/>
        </w:rPr>
        <w:t>он</w:t>
      </w:r>
      <w:r w:rsidRPr="002342AB">
        <w:rPr>
          <w:rFonts w:ascii="Times New Roman" w:hAnsi="Times New Roman"/>
          <w:sz w:val="24"/>
          <w:szCs w:val="24"/>
          <w:lang w:val="ru-RU"/>
        </w:rPr>
        <w:t xml:space="preserve"> быть дальнейшим улучшением имеющихся положений, правил о механизме «совместного осуществления», как предложил Комитет по экологической безопасности </w:t>
      </w:r>
      <w:proofErr w:type="spellStart"/>
      <w:r w:rsidRPr="002342AB">
        <w:rPr>
          <w:rFonts w:ascii="Times New Roman" w:hAnsi="Times New Roman"/>
          <w:sz w:val="24"/>
          <w:szCs w:val="24"/>
          <w:lang w:val="ru-RU"/>
        </w:rPr>
        <w:t>РСПП</w:t>
      </w:r>
      <w:proofErr w:type="spellEnd"/>
      <w:r w:rsidRPr="002342AB">
        <w:rPr>
          <w:rFonts w:ascii="Times New Roman" w:hAnsi="Times New Roman"/>
          <w:sz w:val="24"/>
          <w:szCs w:val="24"/>
          <w:lang w:val="ru-RU"/>
        </w:rPr>
        <w:t xml:space="preserve">, или такое нормотворчество должно охватывать долгосрочную перспективу и создавать российскую модель для генерации российских «компенсационных кредитов» (off-set credits) высокого качества? </w:t>
      </w:r>
    </w:p>
    <w:p w:rsidR="002342AB" w:rsidRDefault="002342AB" w:rsidP="002342AB">
      <w:pPr>
        <w:spacing w:after="120" w:line="240" w:lineRule="auto"/>
        <w:ind w:firstLine="567"/>
        <w:jc w:val="both"/>
        <w:rPr>
          <w:rFonts w:ascii="Times New Roman" w:hAnsi="Times New Roman"/>
          <w:sz w:val="24"/>
          <w:szCs w:val="24"/>
          <w:lang w:val="ru-RU"/>
        </w:rPr>
      </w:pPr>
      <w:r w:rsidRPr="002342AB">
        <w:rPr>
          <w:rFonts w:ascii="Times New Roman" w:hAnsi="Times New Roman"/>
          <w:sz w:val="24"/>
          <w:szCs w:val="24"/>
          <w:lang w:val="ru-RU"/>
        </w:rPr>
        <w:lastRenderedPageBreak/>
        <w:t>На разработку и согласование первого постановления правительства по механизму «совместного осуществления» ушло более двух лет, на второе постановлен</w:t>
      </w:r>
      <w:r w:rsidR="00BB1DDB">
        <w:rPr>
          <w:rFonts w:ascii="Times New Roman" w:hAnsi="Times New Roman"/>
          <w:sz w:val="24"/>
          <w:szCs w:val="24"/>
          <w:lang w:val="ru-RU"/>
        </w:rPr>
        <w:t>ие – более двух лет, на третье так же</w:t>
      </w:r>
      <w:r w:rsidRPr="002342AB">
        <w:rPr>
          <w:rFonts w:ascii="Times New Roman" w:hAnsi="Times New Roman"/>
          <w:sz w:val="24"/>
          <w:szCs w:val="24"/>
          <w:lang w:val="ru-RU"/>
        </w:rPr>
        <w:t xml:space="preserve"> </w:t>
      </w:r>
      <w:r w:rsidR="00BB1DDB">
        <w:rPr>
          <w:rFonts w:ascii="Times New Roman" w:hAnsi="Times New Roman"/>
          <w:sz w:val="24"/>
          <w:szCs w:val="24"/>
          <w:lang w:val="ru-RU"/>
        </w:rPr>
        <w:t>около</w:t>
      </w:r>
      <w:r w:rsidRPr="002342AB">
        <w:rPr>
          <w:rFonts w:ascii="Times New Roman" w:hAnsi="Times New Roman"/>
          <w:sz w:val="24"/>
          <w:szCs w:val="24"/>
          <w:lang w:val="ru-RU"/>
        </w:rPr>
        <w:t xml:space="preserve"> двух лет. Отсюда очевидный вывод: следующий нормативный акт, по самым оптимистичным оценкам, можно ожидать к концу учетного периода Киотского протокола.</w:t>
      </w:r>
    </w:p>
    <w:p w:rsidR="002342AB" w:rsidRPr="002342AB" w:rsidRDefault="002342AB" w:rsidP="002342AB">
      <w:pPr>
        <w:spacing w:after="120" w:line="240" w:lineRule="auto"/>
        <w:ind w:firstLine="567"/>
        <w:jc w:val="both"/>
        <w:rPr>
          <w:rFonts w:ascii="Times New Roman" w:hAnsi="Times New Roman"/>
          <w:sz w:val="24"/>
          <w:szCs w:val="24"/>
          <w:lang w:val="ru-RU"/>
        </w:rPr>
      </w:pPr>
      <w:r w:rsidRPr="002342AB">
        <w:rPr>
          <w:rFonts w:ascii="Times New Roman" w:hAnsi="Times New Roman"/>
          <w:sz w:val="24"/>
          <w:szCs w:val="24"/>
          <w:lang w:val="ru-RU"/>
        </w:rPr>
        <w:t>Актуальные мотивы и тактика могут быть различными, но создание системы генерации «компенсационных кредитов» высокого качества вполне может служить общей целью.</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По основному содержанию система рыночного регулирования эмиссий, по крайней мере, на первом этапе, зиждется на кредитах, и только во вторую очередь на разрешениях (квотах). </w:t>
      </w:r>
    </w:p>
    <w:p w:rsidR="00975AB5" w:rsidRDefault="00975AB5"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Механизм должен базироваться на о</w:t>
      </w:r>
      <w:r w:rsidR="008F24DC" w:rsidRPr="008F24DC">
        <w:rPr>
          <w:rFonts w:ascii="Times New Roman" w:hAnsi="Times New Roman"/>
          <w:sz w:val="24"/>
          <w:szCs w:val="24"/>
          <w:lang w:val="ru-RU"/>
        </w:rPr>
        <w:t>бязательн</w:t>
      </w:r>
      <w:r>
        <w:rPr>
          <w:rFonts w:ascii="Times New Roman" w:hAnsi="Times New Roman"/>
          <w:sz w:val="24"/>
          <w:szCs w:val="24"/>
          <w:lang w:val="ru-RU"/>
        </w:rPr>
        <w:t>ом</w:t>
      </w:r>
      <w:r w:rsidR="008F24DC" w:rsidRPr="008F24DC">
        <w:rPr>
          <w:rFonts w:ascii="Times New Roman" w:hAnsi="Times New Roman"/>
          <w:sz w:val="24"/>
          <w:szCs w:val="24"/>
          <w:lang w:val="ru-RU"/>
        </w:rPr>
        <w:t xml:space="preserve"> характер</w:t>
      </w:r>
      <w:r>
        <w:rPr>
          <w:rFonts w:ascii="Times New Roman" w:hAnsi="Times New Roman"/>
          <w:sz w:val="24"/>
          <w:szCs w:val="24"/>
          <w:lang w:val="ru-RU"/>
        </w:rPr>
        <w:t>е</w:t>
      </w:r>
      <w:r w:rsidR="008F24DC" w:rsidRPr="008F24DC">
        <w:rPr>
          <w:rFonts w:ascii="Times New Roman" w:hAnsi="Times New Roman"/>
          <w:sz w:val="24"/>
          <w:szCs w:val="24"/>
          <w:lang w:val="ru-RU"/>
        </w:rPr>
        <w:t xml:space="preserve"> ограничения выбросов в абсолютных показателях. Такое требование определяется</w:t>
      </w:r>
      <w:r>
        <w:rPr>
          <w:rFonts w:ascii="Times New Roman" w:hAnsi="Times New Roman"/>
          <w:sz w:val="24"/>
          <w:szCs w:val="24"/>
          <w:lang w:val="ru-RU"/>
        </w:rPr>
        <w:t>,</w:t>
      </w:r>
      <w:r w:rsidR="008F24DC" w:rsidRPr="008F24DC">
        <w:rPr>
          <w:rFonts w:ascii="Times New Roman" w:hAnsi="Times New Roman"/>
          <w:sz w:val="24"/>
          <w:szCs w:val="24"/>
          <w:lang w:val="ru-RU"/>
        </w:rPr>
        <w:t xml:space="preserve"> как необходимостью обеспечить целостность целей внедрения рыночного механизма и основного принципа его работы, так и требованиями внешних рынков, основных потенциальных источников спроса на российские компенсационные кредиты.    </w:t>
      </w:r>
    </w:p>
    <w:p w:rsidR="008F24DC" w:rsidRPr="008F24DC" w:rsidRDefault="008F24DC" w:rsidP="008F24DC">
      <w:pPr>
        <w:spacing w:after="120" w:line="240" w:lineRule="auto"/>
        <w:ind w:firstLine="567"/>
        <w:jc w:val="both"/>
        <w:rPr>
          <w:rFonts w:ascii="Times New Roman" w:hAnsi="Times New Roman"/>
          <w:sz w:val="24"/>
          <w:szCs w:val="24"/>
          <w:lang w:val="ru-RU"/>
        </w:rPr>
      </w:pPr>
      <w:proofErr w:type="gramStart"/>
      <w:r w:rsidRPr="008F24DC">
        <w:rPr>
          <w:rFonts w:ascii="Times New Roman" w:hAnsi="Times New Roman"/>
          <w:sz w:val="24"/>
          <w:szCs w:val="24"/>
          <w:lang w:val="ru-RU"/>
        </w:rPr>
        <w:t>Обязательность ограничений должна обеспечиваться штрафными санкциями за нарушение лимитов либо в денежном, либо в натуральном выражении</w:t>
      </w:r>
      <w:r w:rsidR="00A567F0">
        <w:rPr>
          <w:rFonts w:ascii="Times New Roman" w:hAnsi="Times New Roman"/>
          <w:sz w:val="24"/>
          <w:szCs w:val="24"/>
          <w:lang w:val="ru-RU"/>
        </w:rPr>
        <w:t xml:space="preserve"> на ограниченное </w:t>
      </w:r>
      <w:proofErr w:type="spellStart"/>
      <w:r w:rsidR="00A567F0">
        <w:rPr>
          <w:rFonts w:ascii="Times New Roman" w:hAnsi="Times New Roman"/>
          <w:sz w:val="24"/>
          <w:szCs w:val="24"/>
          <w:lang w:val="ru-RU"/>
        </w:rPr>
        <w:t>ое</w:t>
      </w:r>
      <w:proofErr w:type="spellEnd"/>
      <w:r w:rsidR="00A567F0">
        <w:rPr>
          <w:rFonts w:ascii="Times New Roman" w:hAnsi="Times New Roman"/>
          <w:sz w:val="24"/>
          <w:szCs w:val="24"/>
          <w:lang w:val="ru-RU"/>
        </w:rPr>
        <w:t xml:space="preserve"> число отчетных периодов</w:t>
      </w:r>
      <w:r w:rsidRPr="008F24DC">
        <w:rPr>
          <w:rFonts w:ascii="Times New Roman" w:hAnsi="Times New Roman"/>
          <w:sz w:val="24"/>
          <w:szCs w:val="24"/>
          <w:lang w:val="ru-RU"/>
        </w:rPr>
        <w:t xml:space="preserve"> (в обязательстве предоставить или произвести объем сокращений, кратный объему нарушения).</w:t>
      </w:r>
      <w:proofErr w:type="gramEnd"/>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Применение ограничений в абсолютных показателях означает, что не допускается использование таких относительных ограничений, как ограничение эмиссий на единицу продукции и т.</w:t>
      </w:r>
      <w:r w:rsidR="008212F1">
        <w:rPr>
          <w:rFonts w:ascii="Times New Roman" w:hAnsi="Times New Roman"/>
          <w:sz w:val="24"/>
          <w:szCs w:val="24"/>
          <w:lang w:val="ru-RU"/>
        </w:rPr>
        <w:t>п</w:t>
      </w:r>
      <w:r w:rsidRPr="008F24DC">
        <w:rPr>
          <w:rFonts w:ascii="Times New Roman" w:hAnsi="Times New Roman"/>
          <w:sz w:val="24"/>
          <w:szCs w:val="24"/>
          <w:lang w:val="ru-RU"/>
        </w:rPr>
        <w:t>.</w:t>
      </w:r>
    </w:p>
    <w:p w:rsidR="00975AB5" w:rsidRDefault="00975AB5"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Вероятно, целесообразно предусмотреть о</w:t>
      </w:r>
      <w:r w:rsidR="008F24DC" w:rsidRPr="008F24DC">
        <w:rPr>
          <w:rFonts w:ascii="Times New Roman" w:hAnsi="Times New Roman"/>
          <w:sz w:val="24"/>
          <w:szCs w:val="24"/>
          <w:lang w:val="ru-RU"/>
        </w:rPr>
        <w:t>бязательность участия для субъектов, уже подпадающих под регулирование парниковых выбросов (авиация</w:t>
      </w:r>
      <w:r w:rsidR="008212F1">
        <w:rPr>
          <w:rFonts w:ascii="Times New Roman" w:hAnsi="Times New Roman"/>
          <w:sz w:val="24"/>
          <w:szCs w:val="24"/>
          <w:lang w:val="ru-RU"/>
        </w:rPr>
        <w:t>,</w:t>
      </w:r>
      <w:r w:rsidR="008F24DC" w:rsidRPr="008F24DC">
        <w:rPr>
          <w:rFonts w:ascii="Times New Roman" w:hAnsi="Times New Roman"/>
          <w:sz w:val="24"/>
          <w:szCs w:val="24"/>
          <w:lang w:val="ru-RU"/>
        </w:rPr>
        <w:t xml:space="preserve"> морской транспорт), что не позволит участникам </w:t>
      </w:r>
      <w:r w:rsidR="008212F1">
        <w:rPr>
          <w:rFonts w:ascii="Times New Roman" w:hAnsi="Times New Roman"/>
          <w:sz w:val="24"/>
          <w:szCs w:val="24"/>
          <w:lang w:val="ru-RU"/>
        </w:rPr>
        <w:t>избежать контроля под предлогом введения национальной системы.</w:t>
      </w:r>
      <w:r w:rsidR="008F24DC" w:rsidRPr="008F24DC">
        <w:rPr>
          <w:rFonts w:ascii="Times New Roman" w:hAnsi="Times New Roman"/>
          <w:sz w:val="24"/>
          <w:szCs w:val="24"/>
          <w:lang w:val="ru-RU"/>
        </w:rPr>
        <w:t xml:space="preserve">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Введение российской системы при полностью добровольном участии в ней теоретически позволяет потенциальным участникам уклониться от европейского регулирования под предлогом введения российской системы и не войти в российскую систему, поскольку участие в ней добровольное и</w:t>
      </w:r>
      <w:proofErr w:type="gramStart"/>
      <w:r w:rsidRPr="008F24DC">
        <w:rPr>
          <w:rFonts w:ascii="Times New Roman" w:hAnsi="Times New Roman"/>
          <w:sz w:val="24"/>
          <w:szCs w:val="24"/>
          <w:lang w:val="ru-RU"/>
        </w:rPr>
        <w:t xml:space="preserve"> ,</w:t>
      </w:r>
      <w:proofErr w:type="gramEnd"/>
      <w:r w:rsidRPr="008F24DC">
        <w:rPr>
          <w:rFonts w:ascii="Times New Roman" w:hAnsi="Times New Roman"/>
          <w:sz w:val="24"/>
          <w:szCs w:val="24"/>
          <w:lang w:val="ru-RU"/>
        </w:rPr>
        <w:t xml:space="preserve"> таким образом, полностью избежать регулирования как российского, так и европейского. </w:t>
      </w:r>
    </w:p>
    <w:p w:rsidR="008F24DC" w:rsidRPr="008F24DC" w:rsidRDefault="00A567F0"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Целесообразно предусмотреть в</w:t>
      </w:r>
      <w:r w:rsidR="008F24DC" w:rsidRPr="008F24DC">
        <w:rPr>
          <w:rFonts w:ascii="Times New Roman" w:hAnsi="Times New Roman"/>
          <w:sz w:val="24"/>
          <w:szCs w:val="24"/>
          <w:lang w:val="ru-RU"/>
        </w:rPr>
        <w:t>озможность участия заинтересованных компаний, в первую очередь тех, которых международное регулирование касается косвенно, а в ближайшей перспективе и прямо, например, поставщиков топлива, производителей экспортной продукции, заявителей проектов «совместного осуществления», инвесторов проектов энергоэффективности и других.</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Добровольное присоединение к системе участников (источников), не подпадающих под международное (иностранное) регулирование</w:t>
      </w:r>
      <w:r w:rsidR="00650F72" w:rsidRPr="00650F72">
        <w:rPr>
          <w:rFonts w:ascii="Times New Roman" w:hAnsi="Times New Roman"/>
          <w:sz w:val="24"/>
          <w:szCs w:val="24"/>
          <w:lang w:val="ru-RU"/>
        </w:rPr>
        <w:t xml:space="preserve"> </w:t>
      </w:r>
      <w:r w:rsidR="00650F72">
        <w:rPr>
          <w:rFonts w:ascii="Times New Roman" w:hAnsi="Times New Roman"/>
          <w:sz w:val="24"/>
          <w:szCs w:val="24"/>
          <w:lang w:val="ru-RU"/>
        </w:rPr>
        <w:t>должна сочетаться с</w:t>
      </w:r>
      <w:r w:rsidRPr="008F24DC">
        <w:rPr>
          <w:rFonts w:ascii="Times New Roman" w:hAnsi="Times New Roman"/>
          <w:sz w:val="24"/>
          <w:szCs w:val="24"/>
          <w:lang w:val="ru-RU"/>
        </w:rPr>
        <w:t xml:space="preserve"> жесткость</w:t>
      </w:r>
      <w:r w:rsidR="00650F72">
        <w:rPr>
          <w:rFonts w:ascii="Times New Roman" w:hAnsi="Times New Roman"/>
          <w:sz w:val="24"/>
          <w:szCs w:val="24"/>
          <w:lang w:val="ru-RU"/>
        </w:rPr>
        <w:t>ю</w:t>
      </w:r>
      <w:r w:rsidRPr="008F24DC">
        <w:rPr>
          <w:rFonts w:ascii="Times New Roman" w:hAnsi="Times New Roman"/>
          <w:sz w:val="24"/>
          <w:szCs w:val="24"/>
          <w:lang w:val="ru-RU"/>
        </w:rPr>
        <w:t xml:space="preserve"> и обязательность</w:t>
      </w:r>
      <w:r w:rsidR="00650F72">
        <w:rPr>
          <w:rFonts w:ascii="Times New Roman" w:hAnsi="Times New Roman"/>
          <w:sz w:val="24"/>
          <w:szCs w:val="24"/>
          <w:lang w:val="ru-RU"/>
        </w:rPr>
        <w:t>ю</w:t>
      </w:r>
      <w:r w:rsidRPr="008F24DC">
        <w:rPr>
          <w:rFonts w:ascii="Times New Roman" w:hAnsi="Times New Roman"/>
          <w:sz w:val="24"/>
          <w:szCs w:val="24"/>
          <w:lang w:val="ru-RU"/>
        </w:rPr>
        <w:t xml:space="preserve"> ограничений на выбросы</w:t>
      </w:r>
      <w:r w:rsidR="00650F72">
        <w:rPr>
          <w:rFonts w:ascii="Times New Roman" w:hAnsi="Times New Roman"/>
          <w:sz w:val="24"/>
          <w:szCs w:val="24"/>
          <w:lang w:val="ru-RU"/>
        </w:rPr>
        <w:t xml:space="preserve"> в абсолютном выражении</w:t>
      </w:r>
      <w:r w:rsidRPr="008F24DC">
        <w:rPr>
          <w:rFonts w:ascii="Times New Roman" w:hAnsi="Times New Roman"/>
          <w:sz w:val="24"/>
          <w:szCs w:val="24"/>
          <w:lang w:val="ru-RU"/>
        </w:rPr>
        <w:t>. При максимально допустимой степени добровольности участия в системе необходимо твердо и четко проводить границу между добровольным участием в системе и обязательностью ее требований с тем, чтобы не выхолостить саму суть механизма и не обесценить применяемые в системе рыночные инструменты.</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Стимулирование добровольного участия в экспериментальной фазе должно заключаться в твердом обязательстве государства учитывать результаты участия в любо</w:t>
      </w:r>
      <w:r w:rsidR="008212F1">
        <w:rPr>
          <w:rFonts w:ascii="Times New Roman" w:hAnsi="Times New Roman"/>
          <w:sz w:val="24"/>
          <w:szCs w:val="24"/>
          <w:lang w:val="ru-RU"/>
        </w:rPr>
        <w:t>й</w:t>
      </w:r>
      <w:r w:rsidRPr="008F24DC">
        <w:rPr>
          <w:rFonts w:ascii="Times New Roman" w:hAnsi="Times New Roman"/>
          <w:sz w:val="24"/>
          <w:szCs w:val="24"/>
          <w:lang w:val="ru-RU"/>
        </w:rPr>
        <w:t xml:space="preserve"> последующей системе контроля парниковых эмиссий, от всеобщей систем</w:t>
      </w:r>
      <w:r w:rsidR="008212F1">
        <w:rPr>
          <w:rFonts w:ascii="Times New Roman" w:hAnsi="Times New Roman"/>
          <w:sz w:val="24"/>
          <w:szCs w:val="24"/>
          <w:lang w:val="ru-RU"/>
        </w:rPr>
        <w:t>ы</w:t>
      </w:r>
      <w:r w:rsidRPr="008F24DC">
        <w:rPr>
          <w:rFonts w:ascii="Times New Roman" w:hAnsi="Times New Roman"/>
          <w:sz w:val="24"/>
          <w:szCs w:val="24"/>
          <w:lang w:val="ru-RU"/>
        </w:rPr>
        <w:t xml:space="preserve"> торговли, до гипотетического «парникового» налога. Наиболее эффективным стимулом при этом было </w:t>
      </w:r>
      <w:r w:rsidRPr="008F24DC">
        <w:rPr>
          <w:rFonts w:ascii="Times New Roman" w:hAnsi="Times New Roman"/>
          <w:sz w:val="24"/>
          <w:szCs w:val="24"/>
          <w:lang w:val="ru-RU"/>
        </w:rPr>
        <w:lastRenderedPageBreak/>
        <w:t xml:space="preserve">бы сопровождение такого обязательства  декларацией со стороны правительства плана внедрять и расширять систему ограничения парниковых выбросов в обозримом будущем.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Выделение лимитов на объем годового выброса на принципе «наследования»</w:t>
      </w:r>
      <w:r w:rsidR="00650F72">
        <w:rPr>
          <w:rFonts w:ascii="Times New Roman" w:hAnsi="Times New Roman"/>
          <w:sz w:val="24"/>
          <w:szCs w:val="24"/>
          <w:lang w:val="ru-RU"/>
        </w:rPr>
        <w:t xml:space="preserve"> может </w:t>
      </w:r>
      <w:r w:rsidRPr="008F24DC">
        <w:rPr>
          <w:rFonts w:ascii="Times New Roman" w:hAnsi="Times New Roman"/>
          <w:sz w:val="24"/>
          <w:szCs w:val="24"/>
          <w:lang w:val="ru-RU"/>
        </w:rPr>
        <w:t>увяз</w:t>
      </w:r>
      <w:r w:rsidR="00650F72">
        <w:rPr>
          <w:rFonts w:ascii="Times New Roman" w:hAnsi="Times New Roman"/>
          <w:sz w:val="24"/>
          <w:szCs w:val="24"/>
          <w:lang w:val="ru-RU"/>
        </w:rPr>
        <w:t>ываться</w:t>
      </w:r>
      <w:r w:rsidRPr="008F24DC">
        <w:rPr>
          <w:rFonts w:ascii="Times New Roman" w:hAnsi="Times New Roman"/>
          <w:sz w:val="24"/>
          <w:szCs w:val="24"/>
          <w:lang w:val="ru-RU"/>
        </w:rPr>
        <w:t xml:space="preserve"> с уровнем применяемой технологии</w:t>
      </w:r>
      <w:r w:rsidR="00A567F0">
        <w:rPr>
          <w:rFonts w:ascii="Times New Roman" w:hAnsi="Times New Roman"/>
          <w:sz w:val="24"/>
          <w:szCs w:val="24"/>
          <w:lang w:val="ru-RU"/>
        </w:rPr>
        <w:t xml:space="preserve"> (с наилучшими технологиями)</w:t>
      </w:r>
      <w:r w:rsidRPr="008F24DC">
        <w:rPr>
          <w:rFonts w:ascii="Times New Roman" w:hAnsi="Times New Roman"/>
          <w:sz w:val="24"/>
          <w:szCs w:val="24"/>
          <w:lang w:val="ru-RU"/>
        </w:rPr>
        <w:t xml:space="preserve"> с тем, чтобы стимулировать ускоренную модернизацию. Определение разрешенного объема эмиссии на принципе «наследования» должно осуществляться путем специального аудита, инвентаризации, применения в независимой экспертизе международных методик расчета, а в случае отсутствия таких методик они должны разрабатываться с участием независимой экспертизы соответствующим образом сертифицироваться. </w:t>
      </w:r>
    </w:p>
    <w:p w:rsidR="008F24DC" w:rsidRPr="008F24DC" w:rsidRDefault="008F24DC" w:rsidP="008F24DC">
      <w:pPr>
        <w:spacing w:after="120" w:line="240" w:lineRule="auto"/>
        <w:ind w:firstLine="567"/>
        <w:jc w:val="both"/>
        <w:rPr>
          <w:rFonts w:ascii="Times New Roman" w:hAnsi="Times New Roman"/>
          <w:sz w:val="24"/>
          <w:szCs w:val="24"/>
          <w:lang w:val="ru-RU"/>
        </w:rPr>
      </w:pPr>
      <w:proofErr w:type="gramStart"/>
      <w:r w:rsidRPr="008F24DC">
        <w:rPr>
          <w:rFonts w:ascii="Times New Roman" w:hAnsi="Times New Roman"/>
          <w:sz w:val="24"/>
          <w:szCs w:val="24"/>
          <w:lang w:val="ru-RU"/>
        </w:rPr>
        <w:t>При общем принципе постепенного снижения объема разрешенных эмиссий, ускоренное снижение должно применяться в отношении источников, использующих отсталые низкоэффективные технологии и оборудование таким образом, что замена таких технологий и оборудования с учетом возможности рыночной капитализации высвобождающегося объема эмиссий должно быть экономически более выгодным, чем ежегодное приобретение на рынке недостающих разрешений (</w:t>
      </w:r>
      <w:r w:rsidR="00E81DA5">
        <w:rPr>
          <w:rFonts w:ascii="Times New Roman" w:hAnsi="Times New Roman"/>
          <w:sz w:val="24"/>
          <w:szCs w:val="24"/>
          <w:lang w:val="ru-RU"/>
        </w:rPr>
        <w:t xml:space="preserve">квот или </w:t>
      </w:r>
      <w:r w:rsidRPr="008F24DC">
        <w:rPr>
          <w:rFonts w:ascii="Times New Roman" w:hAnsi="Times New Roman"/>
          <w:sz w:val="24"/>
          <w:szCs w:val="24"/>
          <w:lang w:val="ru-RU"/>
        </w:rPr>
        <w:t xml:space="preserve">кредитов). </w:t>
      </w:r>
      <w:proofErr w:type="gramEnd"/>
    </w:p>
    <w:p w:rsidR="00A21A24" w:rsidRDefault="00650F72"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Необходимо выдерживать такие критерии как </w:t>
      </w:r>
      <w:r w:rsidR="008F24DC" w:rsidRPr="008F24DC">
        <w:rPr>
          <w:rFonts w:ascii="Times New Roman" w:hAnsi="Times New Roman"/>
          <w:sz w:val="24"/>
          <w:szCs w:val="24"/>
          <w:lang w:val="ru-RU"/>
        </w:rPr>
        <w:t>«</w:t>
      </w:r>
      <w:proofErr w:type="spellStart"/>
      <w:r>
        <w:rPr>
          <w:rFonts w:ascii="Times New Roman" w:hAnsi="Times New Roman"/>
          <w:sz w:val="24"/>
          <w:szCs w:val="24"/>
          <w:lang w:val="ru-RU"/>
        </w:rPr>
        <w:t>д</w:t>
      </w:r>
      <w:r w:rsidR="008F24DC" w:rsidRPr="008F24DC">
        <w:rPr>
          <w:rFonts w:ascii="Times New Roman" w:hAnsi="Times New Roman"/>
          <w:sz w:val="24"/>
          <w:szCs w:val="24"/>
          <w:lang w:val="ru-RU"/>
        </w:rPr>
        <w:t>ополнительность</w:t>
      </w:r>
      <w:proofErr w:type="spellEnd"/>
      <w:r w:rsidR="008F24DC" w:rsidRPr="008F24DC">
        <w:rPr>
          <w:rFonts w:ascii="Times New Roman" w:hAnsi="Times New Roman"/>
          <w:sz w:val="24"/>
          <w:szCs w:val="24"/>
          <w:lang w:val="ru-RU"/>
        </w:rPr>
        <w:t>»</w:t>
      </w:r>
      <w:r>
        <w:rPr>
          <w:rFonts w:ascii="Times New Roman" w:hAnsi="Times New Roman"/>
          <w:sz w:val="24"/>
          <w:szCs w:val="24"/>
          <w:lang w:val="ru-RU"/>
        </w:rPr>
        <w:t xml:space="preserve"> (избыточность)</w:t>
      </w:r>
      <w:r w:rsidR="00143146">
        <w:rPr>
          <w:rFonts w:ascii="Times New Roman" w:hAnsi="Times New Roman"/>
          <w:sz w:val="24"/>
          <w:szCs w:val="24"/>
          <w:lang w:val="ru-RU"/>
        </w:rPr>
        <w:t>, постоянство, подтверждение, измеримость - ун</w:t>
      </w:r>
      <w:r w:rsidR="00975AB5">
        <w:rPr>
          <w:rFonts w:ascii="Times New Roman" w:hAnsi="Times New Roman"/>
          <w:sz w:val="24"/>
          <w:szCs w:val="24"/>
          <w:lang w:val="ru-RU"/>
        </w:rPr>
        <w:t>иверсальные треб</w:t>
      </w:r>
      <w:r>
        <w:rPr>
          <w:rFonts w:ascii="Times New Roman" w:hAnsi="Times New Roman"/>
          <w:sz w:val="24"/>
          <w:szCs w:val="24"/>
          <w:lang w:val="ru-RU"/>
        </w:rPr>
        <w:t>о</w:t>
      </w:r>
      <w:r w:rsidR="00975AB5">
        <w:rPr>
          <w:rFonts w:ascii="Times New Roman" w:hAnsi="Times New Roman"/>
          <w:sz w:val="24"/>
          <w:szCs w:val="24"/>
          <w:lang w:val="ru-RU"/>
        </w:rPr>
        <w:t>вания</w:t>
      </w:r>
      <w:r w:rsidR="008F24DC" w:rsidRPr="008F24DC">
        <w:rPr>
          <w:rFonts w:ascii="Times New Roman" w:hAnsi="Times New Roman"/>
          <w:sz w:val="24"/>
          <w:szCs w:val="24"/>
          <w:lang w:val="ru-RU"/>
        </w:rPr>
        <w:t xml:space="preserve"> применительно к кредитам. </w:t>
      </w:r>
      <w:r w:rsidR="00143146">
        <w:rPr>
          <w:rFonts w:ascii="Times New Roman" w:hAnsi="Times New Roman"/>
          <w:sz w:val="24"/>
          <w:szCs w:val="24"/>
          <w:lang w:val="ru-RU"/>
        </w:rPr>
        <w:t xml:space="preserve">Имеется в виду </w:t>
      </w:r>
      <w:r w:rsidR="008F24DC" w:rsidRPr="008F24DC">
        <w:rPr>
          <w:rFonts w:ascii="Times New Roman" w:hAnsi="Times New Roman"/>
          <w:sz w:val="24"/>
          <w:szCs w:val="24"/>
          <w:lang w:val="ru-RU"/>
        </w:rPr>
        <w:t xml:space="preserve"> </w:t>
      </w:r>
      <w:proofErr w:type="spellStart"/>
      <w:r w:rsidR="008F24DC" w:rsidRPr="008F24DC">
        <w:rPr>
          <w:rFonts w:ascii="Times New Roman" w:hAnsi="Times New Roman"/>
          <w:sz w:val="24"/>
          <w:szCs w:val="24"/>
          <w:lang w:val="ru-RU"/>
        </w:rPr>
        <w:t>дополнительность</w:t>
      </w:r>
      <w:proofErr w:type="spellEnd"/>
      <w:r w:rsidR="00143146">
        <w:rPr>
          <w:rFonts w:ascii="Times New Roman" w:hAnsi="Times New Roman"/>
          <w:sz w:val="24"/>
          <w:szCs w:val="24"/>
          <w:lang w:val="ru-RU"/>
        </w:rPr>
        <w:t xml:space="preserve"> и</w:t>
      </w:r>
      <w:r w:rsidR="008F24DC" w:rsidRPr="008F24DC">
        <w:rPr>
          <w:rFonts w:ascii="Times New Roman" w:hAnsi="Times New Roman"/>
          <w:sz w:val="24"/>
          <w:szCs w:val="24"/>
          <w:lang w:val="ru-RU"/>
        </w:rPr>
        <w:t xml:space="preserve"> по отношению к существующим и вводимым российским и международным нормам.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Так, после введения действие </w:t>
      </w:r>
      <w:proofErr w:type="spellStart"/>
      <w:r w:rsidRPr="008F24DC">
        <w:rPr>
          <w:rFonts w:ascii="Times New Roman" w:hAnsi="Times New Roman"/>
          <w:sz w:val="24"/>
          <w:szCs w:val="24"/>
          <w:lang w:val="ru-RU"/>
        </w:rPr>
        <w:t>EEDI</w:t>
      </w:r>
      <w:proofErr w:type="spellEnd"/>
      <w:r w:rsidRPr="008F24DC">
        <w:rPr>
          <w:rFonts w:ascii="Times New Roman" w:hAnsi="Times New Roman"/>
          <w:sz w:val="24"/>
          <w:szCs w:val="24"/>
          <w:lang w:val="ru-RU"/>
        </w:rPr>
        <w:t xml:space="preserve"> для морского транспорта компенсационные кредиты будут возникать только в случае улучшения показателей, в сравнении с новым критерием.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Дифференциация общегосударственны</w:t>
      </w:r>
      <w:r w:rsidR="00DF6FBD">
        <w:rPr>
          <w:rFonts w:ascii="Times New Roman" w:hAnsi="Times New Roman"/>
          <w:sz w:val="24"/>
          <w:szCs w:val="24"/>
          <w:lang w:val="ru-RU"/>
        </w:rPr>
        <w:t>х</w:t>
      </w:r>
      <w:r w:rsidRPr="008F24DC">
        <w:rPr>
          <w:rFonts w:ascii="Times New Roman" w:hAnsi="Times New Roman"/>
          <w:sz w:val="24"/>
          <w:szCs w:val="24"/>
          <w:lang w:val="ru-RU"/>
        </w:rPr>
        <w:t xml:space="preserve"> обязательств (ограничений) и ограничений для участников системы. Различная правовая и </w:t>
      </w:r>
      <w:r w:rsidR="00A409C0" w:rsidRPr="008F24DC">
        <w:rPr>
          <w:rFonts w:ascii="Times New Roman" w:hAnsi="Times New Roman"/>
          <w:sz w:val="24"/>
          <w:szCs w:val="24"/>
          <w:lang w:val="ru-RU"/>
        </w:rPr>
        <w:t>экономическая</w:t>
      </w:r>
      <w:r w:rsidRPr="008F24DC">
        <w:rPr>
          <w:rFonts w:ascii="Times New Roman" w:hAnsi="Times New Roman"/>
          <w:sz w:val="24"/>
          <w:szCs w:val="24"/>
          <w:lang w:val="ru-RU"/>
        </w:rPr>
        <w:t xml:space="preserve"> природа общегосударственных обязательств</w:t>
      </w:r>
      <w:r w:rsidR="00A409C0">
        <w:rPr>
          <w:rFonts w:ascii="Times New Roman" w:hAnsi="Times New Roman"/>
          <w:sz w:val="24"/>
          <w:szCs w:val="24"/>
          <w:lang w:val="ru-RU"/>
        </w:rPr>
        <w:t>, с одной стороны,</w:t>
      </w:r>
      <w:r w:rsidRPr="008F24DC">
        <w:rPr>
          <w:rFonts w:ascii="Times New Roman" w:hAnsi="Times New Roman"/>
          <w:sz w:val="24"/>
          <w:szCs w:val="24"/>
          <w:lang w:val="ru-RU"/>
        </w:rPr>
        <w:t xml:space="preserve"> и ограничений для участника </w:t>
      </w:r>
      <w:r w:rsidR="00A409C0">
        <w:rPr>
          <w:rFonts w:ascii="Times New Roman" w:hAnsi="Times New Roman"/>
          <w:sz w:val="24"/>
          <w:szCs w:val="24"/>
          <w:lang w:val="ru-RU"/>
        </w:rPr>
        <w:t xml:space="preserve">торговой </w:t>
      </w:r>
      <w:r w:rsidRPr="008F24DC">
        <w:rPr>
          <w:rFonts w:ascii="Times New Roman" w:hAnsi="Times New Roman"/>
          <w:sz w:val="24"/>
          <w:szCs w:val="24"/>
          <w:lang w:val="ru-RU"/>
        </w:rPr>
        <w:t>системы</w:t>
      </w:r>
      <w:r w:rsidR="00A409C0">
        <w:rPr>
          <w:rFonts w:ascii="Times New Roman" w:hAnsi="Times New Roman"/>
          <w:sz w:val="24"/>
          <w:szCs w:val="24"/>
          <w:lang w:val="ru-RU"/>
        </w:rPr>
        <w:t>, с другой,</w:t>
      </w:r>
      <w:r w:rsidRPr="008F24DC">
        <w:rPr>
          <w:rFonts w:ascii="Times New Roman" w:hAnsi="Times New Roman"/>
          <w:sz w:val="24"/>
          <w:szCs w:val="24"/>
          <w:lang w:val="ru-RU"/>
        </w:rPr>
        <w:t xml:space="preserve"> не позволяет осуществлять прямую передачу российской квоты во внутреннюю систему рыночного регулирования и ее участникам. На данный момент нет </w:t>
      </w:r>
      <w:r w:rsidR="00DF6FBD">
        <w:rPr>
          <w:rFonts w:ascii="Times New Roman" w:hAnsi="Times New Roman"/>
          <w:sz w:val="24"/>
          <w:szCs w:val="24"/>
          <w:lang w:val="ru-RU"/>
        </w:rPr>
        <w:t>определенной</w:t>
      </w:r>
      <w:r w:rsidRPr="008F24DC">
        <w:rPr>
          <w:rFonts w:ascii="Times New Roman" w:hAnsi="Times New Roman"/>
          <w:sz w:val="24"/>
          <w:szCs w:val="24"/>
          <w:lang w:val="ru-RU"/>
        </w:rPr>
        <w:t xml:space="preserve"> перспективы принятия Россией твердых обязательств по ограничению выбросов парниковых газов на период после 2012 года. Но даже в случае принятия относительно </w:t>
      </w:r>
      <w:r w:rsidR="00DF6FBD">
        <w:rPr>
          <w:rFonts w:ascii="Times New Roman" w:hAnsi="Times New Roman"/>
          <w:sz w:val="24"/>
          <w:szCs w:val="24"/>
          <w:lang w:val="ru-RU"/>
        </w:rPr>
        <w:t>«</w:t>
      </w:r>
      <w:r w:rsidRPr="008F24DC">
        <w:rPr>
          <w:rFonts w:ascii="Times New Roman" w:hAnsi="Times New Roman"/>
          <w:sz w:val="24"/>
          <w:szCs w:val="24"/>
          <w:lang w:val="ru-RU"/>
        </w:rPr>
        <w:t>мягких</w:t>
      </w:r>
      <w:r w:rsidR="00DF6FBD">
        <w:rPr>
          <w:rFonts w:ascii="Times New Roman" w:hAnsi="Times New Roman"/>
          <w:sz w:val="24"/>
          <w:szCs w:val="24"/>
          <w:lang w:val="ru-RU"/>
        </w:rPr>
        <w:t>»</w:t>
      </w:r>
      <w:r w:rsidRPr="008F24DC">
        <w:rPr>
          <w:rFonts w:ascii="Times New Roman" w:hAnsi="Times New Roman"/>
          <w:sz w:val="24"/>
          <w:szCs w:val="24"/>
          <w:lang w:val="ru-RU"/>
        </w:rPr>
        <w:t xml:space="preserve"> обязательств (например, 15-25% снижения выбросов, в сравнении с 1990 годом) принцип дальнейшего распределения общенациональных обязательств далее по регионам, предприятиям, источникам представляется нереалистичным и неприемлемым, так как его применение опять приведет к выхолащиванию сути и смысла механизма, обесцениванию рыночных инструментов, возникающих на этой основе.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Основным базовым рыночным инструментом системы</w:t>
      </w:r>
      <w:r w:rsidR="00A409C0">
        <w:rPr>
          <w:rFonts w:ascii="Times New Roman" w:hAnsi="Times New Roman"/>
          <w:sz w:val="24"/>
          <w:szCs w:val="24"/>
          <w:lang w:val="ru-RU"/>
        </w:rPr>
        <w:t xml:space="preserve">, по крайней мере, на первом этапе </w:t>
      </w:r>
      <w:r w:rsidRPr="008F24DC">
        <w:rPr>
          <w:rFonts w:ascii="Times New Roman" w:hAnsi="Times New Roman"/>
          <w:sz w:val="24"/>
          <w:szCs w:val="24"/>
          <w:lang w:val="ru-RU"/>
        </w:rPr>
        <w:t>должны</w:t>
      </w:r>
      <w:r w:rsidR="00DF6FBD">
        <w:rPr>
          <w:rFonts w:ascii="Times New Roman" w:hAnsi="Times New Roman"/>
          <w:sz w:val="24"/>
          <w:szCs w:val="24"/>
          <w:lang w:val="ru-RU"/>
        </w:rPr>
        <w:t xml:space="preserve"> быть не разрешения на выбросы - </w:t>
      </w:r>
      <w:r w:rsidRPr="008F24DC">
        <w:rPr>
          <w:rFonts w:ascii="Times New Roman" w:hAnsi="Times New Roman"/>
          <w:sz w:val="24"/>
          <w:szCs w:val="24"/>
          <w:lang w:val="ru-RU"/>
        </w:rPr>
        <w:t>которые хотя и обладают всеми преимуществами квоты, но, в конечном счете, возникают на основе договоренности между регулирующим органом и владельцем источника</w:t>
      </w:r>
      <w:r w:rsidR="00DF6FBD">
        <w:rPr>
          <w:rFonts w:ascii="Times New Roman" w:hAnsi="Times New Roman"/>
          <w:sz w:val="24"/>
          <w:szCs w:val="24"/>
          <w:lang w:val="ru-RU"/>
        </w:rPr>
        <w:t xml:space="preserve"> – но кредиты, т.е. целенаправленнее, постоянные сокращения выбросов, </w:t>
      </w:r>
      <w:r w:rsidR="00A21A24">
        <w:rPr>
          <w:rFonts w:ascii="Times New Roman" w:hAnsi="Times New Roman"/>
          <w:sz w:val="24"/>
          <w:szCs w:val="24"/>
          <w:lang w:val="ru-RU"/>
        </w:rPr>
        <w:t>соответствующим</w:t>
      </w:r>
      <w:r w:rsidR="00DF6FBD">
        <w:rPr>
          <w:rFonts w:ascii="Times New Roman" w:hAnsi="Times New Roman"/>
          <w:sz w:val="24"/>
          <w:szCs w:val="24"/>
          <w:lang w:val="ru-RU"/>
        </w:rPr>
        <w:t xml:space="preserve"> образом зарегистрированные и сертифицированные</w:t>
      </w:r>
      <w:proofErr w:type="gramStart"/>
      <w:r w:rsidR="00DF6FBD">
        <w:rPr>
          <w:rFonts w:ascii="Times New Roman" w:hAnsi="Times New Roman"/>
          <w:sz w:val="24"/>
          <w:szCs w:val="24"/>
          <w:lang w:val="ru-RU"/>
        </w:rPr>
        <w:t xml:space="preserve"> </w:t>
      </w:r>
      <w:r w:rsidRPr="008F24DC">
        <w:rPr>
          <w:rFonts w:ascii="Times New Roman" w:hAnsi="Times New Roman"/>
          <w:sz w:val="24"/>
          <w:szCs w:val="24"/>
          <w:lang w:val="ru-RU"/>
        </w:rPr>
        <w:t>.</w:t>
      </w:r>
      <w:proofErr w:type="gramEnd"/>
      <w:r w:rsidRPr="008F24DC">
        <w:rPr>
          <w:rFonts w:ascii="Times New Roman" w:hAnsi="Times New Roman"/>
          <w:sz w:val="24"/>
          <w:szCs w:val="24"/>
          <w:lang w:val="ru-RU"/>
        </w:rPr>
        <w:t xml:space="preserve">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Первичными обязательными участниками системы рыночного регулирования парниковых эмиссий </w:t>
      </w:r>
      <w:r w:rsidR="00A21A24">
        <w:rPr>
          <w:rFonts w:ascii="Times New Roman" w:hAnsi="Times New Roman"/>
          <w:sz w:val="24"/>
          <w:szCs w:val="24"/>
          <w:lang w:val="ru-RU"/>
        </w:rPr>
        <w:t>должны ста</w:t>
      </w:r>
      <w:r w:rsidR="00A21A24" w:rsidRPr="008F24DC">
        <w:rPr>
          <w:rFonts w:ascii="Times New Roman" w:hAnsi="Times New Roman"/>
          <w:sz w:val="24"/>
          <w:szCs w:val="24"/>
          <w:lang w:val="ru-RU"/>
        </w:rPr>
        <w:t>т</w:t>
      </w:r>
      <w:r w:rsidR="00A21A24">
        <w:rPr>
          <w:rFonts w:ascii="Times New Roman" w:hAnsi="Times New Roman"/>
          <w:sz w:val="24"/>
          <w:szCs w:val="24"/>
          <w:lang w:val="ru-RU"/>
        </w:rPr>
        <w:t>ь</w:t>
      </w:r>
      <w:r w:rsidRPr="008F24DC">
        <w:rPr>
          <w:rFonts w:ascii="Times New Roman" w:hAnsi="Times New Roman"/>
          <w:sz w:val="24"/>
          <w:szCs w:val="24"/>
          <w:lang w:val="ru-RU"/>
        </w:rPr>
        <w:t xml:space="preserve"> авиаперевозчики и морской транспорт, которые в соответствии с политикой ЕС в любом случае становятся нетто-покупателями в рамках Европейской торговой системы. При этом целесообразно с самого начала рассмотреть варианты обязательного участия, соответственно, наземной и береговой инфраструктуры (аэропортов и портов). Это с самого начал обеспечит  участие минимально необходимого состава нетто-покупателей и нетто-продавцов.</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lastRenderedPageBreak/>
        <w:t xml:space="preserve">Без специального стимулирования в добровольном участии в системе регулирования объективно заинтересованы: </w:t>
      </w:r>
    </w:p>
    <w:p w:rsidR="008F24DC" w:rsidRPr="008F24DC" w:rsidRDefault="008F24DC" w:rsidP="00DF6FBD">
      <w:pPr>
        <w:numPr>
          <w:ilvl w:val="0"/>
          <w:numId w:val="12"/>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Поставщики топлива для авиаперевозчиков и морского транспорта;</w:t>
      </w:r>
    </w:p>
    <w:p w:rsidR="008F24DC" w:rsidRPr="008F24DC" w:rsidRDefault="008F24DC" w:rsidP="00DF6FBD">
      <w:pPr>
        <w:numPr>
          <w:ilvl w:val="0"/>
          <w:numId w:val="12"/>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Экспортеры энергоемкой продукции, уже подвергающиеся «зеленому» давлению;</w:t>
      </w:r>
    </w:p>
    <w:p w:rsidR="008F24DC" w:rsidRPr="008F24DC" w:rsidRDefault="008F24DC" w:rsidP="00DF6FBD">
      <w:pPr>
        <w:numPr>
          <w:ilvl w:val="0"/>
          <w:numId w:val="12"/>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 xml:space="preserve">Предприятия – участники </w:t>
      </w:r>
      <w:r w:rsidR="00DF6FBD">
        <w:rPr>
          <w:rFonts w:ascii="Times New Roman" w:hAnsi="Times New Roman"/>
          <w:sz w:val="24"/>
          <w:szCs w:val="24"/>
          <w:lang w:val="ru-RU"/>
        </w:rPr>
        <w:t>«проектов совместного осуществления»</w:t>
      </w:r>
      <w:r w:rsidRPr="008F24DC">
        <w:rPr>
          <w:rFonts w:ascii="Times New Roman" w:hAnsi="Times New Roman"/>
          <w:sz w:val="24"/>
          <w:szCs w:val="24"/>
          <w:lang w:val="ru-RU"/>
        </w:rPr>
        <w:t>;</w:t>
      </w:r>
    </w:p>
    <w:p w:rsidR="00A21A24" w:rsidRDefault="008F24DC" w:rsidP="00DF6FBD">
      <w:pPr>
        <w:numPr>
          <w:ilvl w:val="0"/>
          <w:numId w:val="12"/>
        </w:numPr>
        <w:spacing w:after="120" w:line="240" w:lineRule="auto"/>
        <w:jc w:val="both"/>
        <w:rPr>
          <w:rFonts w:ascii="Times New Roman" w:hAnsi="Times New Roman"/>
          <w:sz w:val="24"/>
          <w:szCs w:val="24"/>
          <w:lang w:val="ru-RU"/>
        </w:rPr>
      </w:pPr>
      <w:r w:rsidRPr="008F24DC">
        <w:rPr>
          <w:rFonts w:ascii="Times New Roman" w:hAnsi="Times New Roman"/>
          <w:sz w:val="24"/>
          <w:szCs w:val="24"/>
          <w:lang w:val="ru-RU"/>
        </w:rPr>
        <w:t>Компании, осуществляющие крупные и долгосрочные инвестиционные программы модернизации, энергетического перевооружения</w:t>
      </w:r>
    </w:p>
    <w:p w:rsidR="008F24DC" w:rsidRPr="008F24DC" w:rsidRDefault="00A21A24" w:rsidP="00DF6FBD">
      <w:pPr>
        <w:numPr>
          <w:ilvl w:val="0"/>
          <w:numId w:val="12"/>
        </w:numPr>
        <w:spacing w:after="120" w:line="240" w:lineRule="auto"/>
        <w:jc w:val="both"/>
        <w:rPr>
          <w:rFonts w:ascii="Times New Roman" w:hAnsi="Times New Roman"/>
          <w:sz w:val="24"/>
          <w:szCs w:val="24"/>
          <w:lang w:val="ru-RU"/>
        </w:rPr>
      </w:pPr>
      <w:r>
        <w:rPr>
          <w:rFonts w:ascii="Times New Roman" w:hAnsi="Times New Roman"/>
          <w:sz w:val="24"/>
          <w:szCs w:val="24"/>
          <w:lang w:val="ru-RU"/>
        </w:rPr>
        <w:t>Предприятия, чья производственная деятельность подвергается резкому ужесточению по критериям энергоэффективности, энергосбережения</w:t>
      </w:r>
      <w:proofErr w:type="gramStart"/>
      <w:r>
        <w:rPr>
          <w:rFonts w:ascii="Times New Roman" w:hAnsi="Times New Roman"/>
          <w:sz w:val="24"/>
          <w:szCs w:val="24"/>
          <w:lang w:val="ru-RU"/>
        </w:rPr>
        <w:t xml:space="preserve"> </w:t>
      </w:r>
      <w:r w:rsidR="008F24DC" w:rsidRPr="008F24DC">
        <w:rPr>
          <w:rFonts w:ascii="Times New Roman" w:hAnsi="Times New Roman"/>
          <w:sz w:val="24"/>
          <w:szCs w:val="24"/>
          <w:lang w:val="ru-RU"/>
        </w:rPr>
        <w:t>.</w:t>
      </w:r>
      <w:proofErr w:type="gramEnd"/>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Расширение круга участников возможно при условии успеха экспериментальной стадии и декларирования планов правительства расширить систему рыночного регулирования парниковых выбросов</w:t>
      </w:r>
      <w:r w:rsidR="00DF6FBD">
        <w:rPr>
          <w:rFonts w:ascii="Times New Roman" w:hAnsi="Times New Roman"/>
          <w:sz w:val="24"/>
          <w:szCs w:val="24"/>
          <w:lang w:val="ru-RU"/>
        </w:rPr>
        <w:t>, сделать ее обязательной для тех или иных групп, отраслей, секторов.</w:t>
      </w:r>
      <w:r w:rsidRPr="008F24DC">
        <w:rPr>
          <w:rFonts w:ascii="Times New Roman" w:hAnsi="Times New Roman"/>
          <w:sz w:val="24"/>
          <w:szCs w:val="24"/>
          <w:lang w:val="ru-RU"/>
        </w:rPr>
        <w:t xml:space="preserve">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Основная задача </w:t>
      </w:r>
      <w:r w:rsidR="00A21A24">
        <w:rPr>
          <w:rFonts w:ascii="Times New Roman" w:hAnsi="Times New Roman"/>
          <w:sz w:val="24"/>
          <w:szCs w:val="24"/>
          <w:lang w:val="ru-RU"/>
        </w:rPr>
        <w:t xml:space="preserve">создания рыночного механизма </w:t>
      </w:r>
      <w:r w:rsidRPr="008F24DC">
        <w:rPr>
          <w:rFonts w:ascii="Times New Roman" w:hAnsi="Times New Roman"/>
          <w:sz w:val="24"/>
          <w:szCs w:val="24"/>
          <w:lang w:val="ru-RU"/>
        </w:rPr>
        <w:t>заключается не в</w:t>
      </w:r>
      <w:r w:rsidR="00A21A24">
        <w:rPr>
          <w:rFonts w:ascii="Times New Roman" w:hAnsi="Times New Roman"/>
          <w:sz w:val="24"/>
          <w:szCs w:val="24"/>
          <w:lang w:val="ru-RU"/>
        </w:rPr>
        <w:t xml:space="preserve"> самом</w:t>
      </w:r>
      <w:r w:rsidRPr="008F24DC">
        <w:rPr>
          <w:rFonts w:ascii="Times New Roman" w:hAnsi="Times New Roman"/>
          <w:sz w:val="24"/>
          <w:szCs w:val="24"/>
          <w:lang w:val="ru-RU"/>
        </w:rPr>
        <w:t xml:space="preserve"> создании собственно системы торговли эмиссиями, а в обязательном ограничении объема парниковых эмиссий в абсолютном выражении для определенного перечня источников с предоставлением им права и возможности возмездной передачи или приобретения соответственно избыточного или недостающего объема выбросов.  </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В целях поощрения развития </w:t>
      </w:r>
      <w:proofErr w:type="spellStart"/>
      <w:r w:rsidRPr="008F24DC">
        <w:rPr>
          <w:rFonts w:ascii="Times New Roman" w:hAnsi="Times New Roman"/>
          <w:sz w:val="24"/>
          <w:szCs w:val="24"/>
          <w:lang w:val="ru-RU"/>
        </w:rPr>
        <w:t>ВИЭ</w:t>
      </w:r>
      <w:proofErr w:type="spellEnd"/>
      <w:r w:rsidRPr="008F24DC">
        <w:rPr>
          <w:rFonts w:ascii="Times New Roman" w:hAnsi="Times New Roman"/>
          <w:sz w:val="24"/>
          <w:szCs w:val="24"/>
          <w:lang w:val="ru-RU"/>
        </w:rPr>
        <w:t xml:space="preserve"> целесообразно рассмотреть возможность введения </w:t>
      </w:r>
      <w:r w:rsidR="00143146" w:rsidRPr="008F24DC">
        <w:rPr>
          <w:rFonts w:ascii="Times New Roman" w:hAnsi="Times New Roman"/>
          <w:sz w:val="24"/>
          <w:szCs w:val="24"/>
          <w:lang w:val="ru-RU"/>
        </w:rPr>
        <w:t>отдельного</w:t>
      </w:r>
      <w:r w:rsidRPr="008F24DC">
        <w:rPr>
          <w:rFonts w:ascii="Times New Roman" w:hAnsi="Times New Roman"/>
          <w:sz w:val="24"/>
          <w:szCs w:val="24"/>
          <w:lang w:val="ru-RU"/>
        </w:rPr>
        <w:t xml:space="preserve"> </w:t>
      </w:r>
      <w:r w:rsidR="00143146">
        <w:rPr>
          <w:rFonts w:ascii="Times New Roman" w:hAnsi="Times New Roman"/>
          <w:sz w:val="24"/>
          <w:szCs w:val="24"/>
          <w:lang w:val="ru-RU"/>
        </w:rPr>
        <w:t xml:space="preserve">инструмента аналогичного сертификатам возобновляемой энергетики </w:t>
      </w:r>
      <w:r w:rsidRPr="008F24DC">
        <w:rPr>
          <w:rFonts w:ascii="Times New Roman" w:hAnsi="Times New Roman"/>
          <w:sz w:val="24"/>
          <w:szCs w:val="24"/>
          <w:lang w:val="ru-RU"/>
        </w:rPr>
        <w:t xml:space="preserve">с отдельным стандартом, аналогичным </w:t>
      </w:r>
      <w:proofErr w:type="spellStart"/>
      <w:r w:rsidRPr="008F24DC">
        <w:rPr>
          <w:rFonts w:ascii="Times New Roman" w:hAnsi="Times New Roman"/>
          <w:sz w:val="24"/>
          <w:szCs w:val="24"/>
          <w:lang w:val="ru-RU"/>
        </w:rPr>
        <w:t>RPS</w:t>
      </w:r>
      <w:proofErr w:type="spellEnd"/>
      <w:r w:rsidRPr="008F24DC">
        <w:rPr>
          <w:rFonts w:ascii="Times New Roman" w:hAnsi="Times New Roman"/>
          <w:sz w:val="24"/>
          <w:szCs w:val="24"/>
          <w:lang w:val="ru-RU"/>
        </w:rPr>
        <w:t xml:space="preserve"> (</w:t>
      </w:r>
      <w:proofErr w:type="spellStart"/>
      <w:r w:rsidRPr="008F24DC">
        <w:rPr>
          <w:rFonts w:ascii="Times New Roman" w:hAnsi="Times New Roman"/>
          <w:sz w:val="24"/>
          <w:szCs w:val="24"/>
          <w:lang w:val="ru-RU"/>
        </w:rPr>
        <w:t>Renewable</w:t>
      </w:r>
      <w:proofErr w:type="spellEnd"/>
      <w:r w:rsidRPr="008F24DC">
        <w:rPr>
          <w:rFonts w:ascii="Times New Roman" w:hAnsi="Times New Roman"/>
          <w:sz w:val="24"/>
          <w:szCs w:val="24"/>
          <w:lang w:val="ru-RU"/>
        </w:rPr>
        <w:t xml:space="preserve"> </w:t>
      </w:r>
      <w:proofErr w:type="spellStart"/>
      <w:r w:rsidRPr="008F24DC">
        <w:rPr>
          <w:rFonts w:ascii="Times New Roman" w:hAnsi="Times New Roman"/>
          <w:sz w:val="24"/>
          <w:szCs w:val="24"/>
          <w:lang w:val="ru-RU"/>
        </w:rPr>
        <w:t>Portfolio</w:t>
      </w:r>
      <w:proofErr w:type="spellEnd"/>
      <w:r w:rsidRPr="008F24DC">
        <w:rPr>
          <w:rFonts w:ascii="Times New Roman" w:hAnsi="Times New Roman"/>
          <w:sz w:val="24"/>
          <w:szCs w:val="24"/>
          <w:lang w:val="ru-RU"/>
        </w:rPr>
        <w:t xml:space="preserve"> </w:t>
      </w:r>
      <w:proofErr w:type="spellStart"/>
      <w:r w:rsidRPr="008F24DC">
        <w:rPr>
          <w:rFonts w:ascii="Times New Roman" w:hAnsi="Times New Roman"/>
          <w:sz w:val="24"/>
          <w:szCs w:val="24"/>
          <w:lang w:val="ru-RU"/>
        </w:rPr>
        <w:t>Standard</w:t>
      </w:r>
      <w:proofErr w:type="spellEnd"/>
      <w:r w:rsidRPr="008F24DC">
        <w:rPr>
          <w:rFonts w:ascii="Times New Roman" w:hAnsi="Times New Roman"/>
          <w:sz w:val="24"/>
          <w:szCs w:val="24"/>
          <w:lang w:val="ru-RU"/>
        </w:rPr>
        <w:t>).</w:t>
      </w:r>
    </w:p>
    <w:p w:rsidR="008F24DC" w:rsidRPr="008F24DC" w:rsidRDefault="00A21A24"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Пилотные схемы, административные эксперименты,</w:t>
      </w:r>
      <w:r w:rsidR="008F24DC" w:rsidRPr="008F24DC">
        <w:rPr>
          <w:rFonts w:ascii="Times New Roman" w:hAnsi="Times New Roman"/>
          <w:sz w:val="24"/>
          <w:szCs w:val="24"/>
          <w:lang w:val="ru-RU"/>
        </w:rPr>
        <w:t xml:space="preserve"> наглядно демонстрирующие позитивный эффект введения обязательной системы торговли атмосферными эмиссиями на энергоемкость экономики, на процессы модернизации, могли бы, как представляется, обратить внимание российской власти на этот относительно простой, но действенный способ достижения целей общеэкономической</w:t>
      </w:r>
      <w:r w:rsidR="003A548E">
        <w:rPr>
          <w:rFonts w:ascii="Times New Roman" w:hAnsi="Times New Roman"/>
          <w:sz w:val="24"/>
          <w:szCs w:val="24"/>
          <w:lang w:val="ru-RU"/>
        </w:rPr>
        <w:t>, промышленно-технологической</w:t>
      </w:r>
      <w:r w:rsidR="008F24DC" w:rsidRPr="008F24DC">
        <w:rPr>
          <w:rFonts w:ascii="Times New Roman" w:hAnsi="Times New Roman"/>
          <w:sz w:val="24"/>
          <w:szCs w:val="24"/>
          <w:lang w:val="ru-RU"/>
        </w:rPr>
        <w:t xml:space="preserve"> и климатической политики.</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Как показывает опыт, ни стимулы для </w:t>
      </w:r>
      <w:proofErr w:type="spellStart"/>
      <w:r w:rsidRPr="008F24DC">
        <w:rPr>
          <w:rFonts w:ascii="Times New Roman" w:hAnsi="Times New Roman"/>
          <w:sz w:val="24"/>
          <w:szCs w:val="24"/>
          <w:lang w:val="ru-RU"/>
        </w:rPr>
        <w:t>ВИЭ</w:t>
      </w:r>
      <w:proofErr w:type="spellEnd"/>
      <w:r w:rsidRPr="008F24DC">
        <w:rPr>
          <w:rFonts w:ascii="Times New Roman" w:hAnsi="Times New Roman"/>
          <w:sz w:val="24"/>
          <w:szCs w:val="24"/>
          <w:lang w:val="ru-RU"/>
        </w:rPr>
        <w:t>, введенные на уровне федерального законо</w:t>
      </w:r>
      <w:r w:rsidR="007673F8">
        <w:rPr>
          <w:rFonts w:ascii="Times New Roman" w:hAnsi="Times New Roman"/>
          <w:sz w:val="24"/>
          <w:szCs w:val="24"/>
          <w:lang w:val="ru-RU"/>
        </w:rPr>
        <w:t>дательства еще в 2007 году, ни</w:t>
      </w:r>
      <w:r w:rsidRPr="008F24DC">
        <w:rPr>
          <w:rFonts w:ascii="Times New Roman" w:hAnsi="Times New Roman"/>
          <w:sz w:val="24"/>
          <w:szCs w:val="24"/>
          <w:lang w:val="ru-RU"/>
        </w:rPr>
        <w:t xml:space="preserve"> нормативные акты, призванные поддержать развитие тепло и </w:t>
      </w:r>
      <w:proofErr w:type="spellStart"/>
      <w:r w:rsidRPr="008F24DC">
        <w:rPr>
          <w:rFonts w:ascii="Times New Roman" w:hAnsi="Times New Roman"/>
          <w:sz w:val="24"/>
          <w:szCs w:val="24"/>
          <w:lang w:val="ru-RU"/>
        </w:rPr>
        <w:t>энергогенерации</w:t>
      </w:r>
      <w:proofErr w:type="spellEnd"/>
      <w:r w:rsidRPr="008F24DC">
        <w:rPr>
          <w:rFonts w:ascii="Times New Roman" w:hAnsi="Times New Roman"/>
          <w:sz w:val="24"/>
          <w:szCs w:val="24"/>
          <w:lang w:val="ru-RU"/>
        </w:rPr>
        <w:t xml:space="preserve"> на основе </w:t>
      </w:r>
      <w:proofErr w:type="spellStart"/>
      <w:r w:rsidRPr="008F24DC">
        <w:rPr>
          <w:rFonts w:ascii="Times New Roman" w:hAnsi="Times New Roman"/>
          <w:sz w:val="24"/>
          <w:szCs w:val="24"/>
          <w:lang w:val="ru-RU"/>
        </w:rPr>
        <w:t>ВИЭ</w:t>
      </w:r>
      <w:proofErr w:type="spellEnd"/>
      <w:r w:rsidRPr="008F24DC">
        <w:rPr>
          <w:rFonts w:ascii="Times New Roman" w:hAnsi="Times New Roman"/>
          <w:sz w:val="24"/>
          <w:szCs w:val="24"/>
          <w:lang w:val="ru-RU"/>
        </w:rPr>
        <w:t xml:space="preserve"> последнего времени не работают.</w:t>
      </w:r>
      <w:r w:rsidR="003A548E">
        <w:rPr>
          <w:rFonts w:ascii="Times New Roman" w:hAnsi="Times New Roman"/>
          <w:sz w:val="24"/>
          <w:szCs w:val="24"/>
          <w:lang w:val="ru-RU"/>
        </w:rPr>
        <w:t xml:space="preserve"> Поэтому их вовлечение в качестве «чистых поставщиков» компенсационных кредитов представлялось бы разумным.</w:t>
      </w:r>
      <w:r w:rsidRPr="008F24DC">
        <w:rPr>
          <w:rFonts w:ascii="Times New Roman" w:hAnsi="Times New Roman"/>
          <w:sz w:val="24"/>
          <w:szCs w:val="24"/>
          <w:lang w:val="ru-RU"/>
        </w:rPr>
        <w:t xml:space="preserve"> </w:t>
      </w:r>
    </w:p>
    <w:p w:rsid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Варианты, предполагающие распределение квоты по регионам, предполагают передачу полномочий и обязательств на уровень субъектов федерации, неизбежно будут связаны с необходимостью решать в индивидуальном порядке проблемы каждого конкретного региона, и поэтому представляются бесперспективными. Такая система будет искажать работу рынка, который заработает, только если будет прост и понятен, универсален для всех субъектов и источников вне зависимости от их территориального расположения, а в части мониторинга и отчетности будет основываться на сложившейся государственной системе статистической отчетности и надзора.</w:t>
      </w:r>
    </w:p>
    <w:p w:rsidR="003A548E" w:rsidRPr="008F24DC" w:rsidRDefault="003A548E"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Территориальный, региональный подход полностью оправдан, если речь идет о рынке эмиссий газов регионального значения, например, окислов серы, азота</w:t>
      </w:r>
    </w:p>
    <w:p w:rsidR="008F24DC" w:rsidRPr="008F24DC" w:rsidRDefault="003A548E" w:rsidP="008F24DC">
      <w:pPr>
        <w:spacing w:after="12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Помимо приведенных выше примеров, как представляется, </w:t>
      </w:r>
      <w:r w:rsidR="008F24DC" w:rsidRPr="008F24DC">
        <w:rPr>
          <w:rFonts w:ascii="Times New Roman" w:hAnsi="Times New Roman"/>
          <w:sz w:val="24"/>
          <w:szCs w:val="24"/>
          <w:lang w:val="ru-RU"/>
        </w:rPr>
        <w:t>возможны варианты осуществления административных экспериментов</w:t>
      </w:r>
      <w:r>
        <w:rPr>
          <w:rFonts w:ascii="Times New Roman" w:hAnsi="Times New Roman"/>
          <w:sz w:val="24"/>
          <w:szCs w:val="24"/>
          <w:lang w:val="ru-RU"/>
        </w:rPr>
        <w:t xml:space="preserve"> следующих типов</w:t>
      </w:r>
      <w:r w:rsidR="008F24DC" w:rsidRPr="008F24DC">
        <w:rPr>
          <w:rFonts w:ascii="Times New Roman" w:hAnsi="Times New Roman"/>
          <w:sz w:val="24"/>
          <w:szCs w:val="24"/>
          <w:lang w:val="ru-RU"/>
        </w:rPr>
        <w:t>:</w:t>
      </w:r>
    </w:p>
    <w:p w:rsidR="008F24DC" w:rsidRPr="008F24DC" w:rsidRDefault="008F24DC" w:rsidP="008F24DC">
      <w:pPr>
        <w:spacing w:after="120" w:line="240" w:lineRule="auto"/>
        <w:ind w:firstLine="567"/>
        <w:jc w:val="both"/>
        <w:rPr>
          <w:rFonts w:ascii="Times New Roman" w:hAnsi="Times New Roman"/>
          <w:sz w:val="24"/>
          <w:szCs w:val="24"/>
          <w:lang w:val="ru-RU"/>
        </w:rPr>
      </w:pPr>
      <w:proofErr w:type="gramStart"/>
      <w:r w:rsidRPr="008F24DC">
        <w:rPr>
          <w:rFonts w:ascii="Times New Roman" w:hAnsi="Times New Roman"/>
          <w:sz w:val="24"/>
          <w:szCs w:val="24"/>
          <w:lang w:val="ru-RU"/>
        </w:rPr>
        <w:lastRenderedPageBreak/>
        <w:t>- на базе крупных корпоративных систем источников выбросов, например, магистральных и региональных распределительных газопроводов, энергетических компаний, отдельных отраслей/секторов (авиаперевозок, морских перевозок) и т.п. с использованием принципа «купола», т.е. общего лимита для группы источников;</w:t>
      </w:r>
      <w:proofErr w:type="gramEnd"/>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 </w:t>
      </w:r>
      <w:r w:rsidR="003A548E">
        <w:rPr>
          <w:rFonts w:ascii="Times New Roman" w:hAnsi="Times New Roman"/>
          <w:sz w:val="24"/>
          <w:szCs w:val="24"/>
          <w:lang w:val="ru-RU"/>
        </w:rPr>
        <w:t>как</w:t>
      </w:r>
      <w:r w:rsidRPr="008F24DC">
        <w:rPr>
          <w:rFonts w:ascii="Times New Roman" w:hAnsi="Times New Roman"/>
          <w:sz w:val="24"/>
          <w:szCs w:val="24"/>
          <w:lang w:val="ru-RU"/>
        </w:rPr>
        <w:t xml:space="preserve"> универсального административного эксперимента с добровольным участием субъектов рынка (источников), стимулом для которых послужит подготовка к введению обязательной системы и наследование результатов эксперимента в такой обязательной системе;</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на региональном уровне для атмосферных эмиссий «регионального значения»</w:t>
      </w:r>
      <w:proofErr w:type="gramStart"/>
      <w:r w:rsidRPr="008F24DC">
        <w:rPr>
          <w:rFonts w:ascii="Times New Roman" w:hAnsi="Times New Roman"/>
          <w:sz w:val="24"/>
          <w:szCs w:val="24"/>
          <w:lang w:val="ru-RU"/>
        </w:rPr>
        <w:t>,т</w:t>
      </w:r>
      <w:proofErr w:type="gramEnd"/>
      <w:r w:rsidRPr="008F24DC">
        <w:rPr>
          <w:rFonts w:ascii="Times New Roman" w:hAnsi="Times New Roman"/>
          <w:sz w:val="24"/>
          <w:szCs w:val="24"/>
          <w:lang w:val="ru-RU"/>
        </w:rPr>
        <w:t>.е., например, окислов серы, азота.</w:t>
      </w:r>
    </w:p>
    <w:p w:rsidR="008F24DC" w:rsidRPr="008F24DC" w:rsidRDefault="008F24DC" w:rsidP="008F24DC">
      <w:pPr>
        <w:spacing w:after="120" w:line="240" w:lineRule="auto"/>
        <w:ind w:firstLine="567"/>
        <w:jc w:val="both"/>
        <w:rPr>
          <w:rFonts w:ascii="Times New Roman" w:hAnsi="Times New Roman"/>
          <w:sz w:val="24"/>
          <w:szCs w:val="24"/>
          <w:lang w:val="ru-RU"/>
        </w:rPr>
      </w:pPr>
      <w:r w:rsidRPr="008F24DC">
        <w:rPr>
          <w:rFonts w:ascii="Times New Roman" w:hAnsi="Times New Roman"/>
          <w:sz w:val="24"/>
          <w:szCs w:val="24"/>
          <w:lang w:val="ru-RU"/>
        </w:rPr>
        <w:t xml:space="preserve">Строгость подходов, жесткость системы, государственное регулирование и, как следствие, достижение высоких рыночных стандартов и репутации в перспективе послужит существенному облегчению объединения российского рынка атмосферных эмиссий с другими обязательными рынками, в первую очередь, ЕС, США. </w:t>
      </w:r>
    </w:p>
    <w:p w:rsidR="008F24DC" w:rsidRPr="008F24DC" w:rsidRDefault="008F24DC" w:rsidP="008F24DC">
      <w:pPr>
        <w:spacing w:after="120" w:line="240" w:lineRule="auto"/>
        <w:ind w:firstLine="567"/>
        <w:jc w:val="both"/>
        <w:rPr>
          <w:rFonts w:ascii="Times New Roman" w:hAnsi="Times New Roman"/>
          <w:sz w:val="24"/>
          <w:szCs w:val="24"/>
          <w:lang w:val="ru-RU"/>
        </w:rPr>
      </w:pPr>
    </w:p>
    <w:p w:rsidR="008F24DC" w:rsidRPr="004D4384" w:rsidRDefault="008F24DC" w:rsidP="008F24DC">
      <w:pPr>
        <w:spacing w:after="120" w:line="240" w:lineRule="auto"/>
        <w:ind w:firstLine="567"/>
        <w:jc w:val="both"/>
        <w:rPr>
          <w:rFonts w:ascii="Times New Roman" w:hAnsi="Times New Roman"/>
          <w:sz w:val="24"/>
          <w:szCs w:val="24"/>
          <w:lang w:val="ru-RU"/>
        </w:rPr>
      </w:pPr>
    </w:p>
    <w:sectPr w:rsidR="008F24DC" w:rsidRPr="004D4384" w:rsidSect="00975297">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40" w:rsidRDefault="00D67540" w:rsidP="00371193">
      <w:pPr>
        <w:spacing w:after="0" w:line="240" w:lineRule="auto"/>
      </w:pPr>
      <w:r>
        <w:separator/>
      </w:r>
    </w:p>
  </w:endnote>
  <w:endnote w:type="continuationSeparator" w:id="0">
    <w:p w:rsidR="00D67540" w:rsidRDefault="00D67540" w:rsidP="00371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90" w:rsidRDefault="001A6790" w:rsidP="005B2E3A">
    <w:pPr>
      <w:pStyle w:val="a5"/>
      <w:framePr w:wrap="auto"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6790" w:rsidRDefault="001A6790" w:rsidP="009752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90" w:rsidRDefault="001A6790" w:rsidP="005B2E3A">
    <w:pPr>
      <w:pStyle w:val="a5"/>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567F0">
      <w:rPr>
        <w:rStyle w:val="aa"/>
        <w:noProof/>
      </w:rPr>
      <w:t>48</w:t>
    </w:r>
    <w:r>
      <w:rPr>
        <w:rStyle w:val="aa"/>
      </w:rPr>
      <w:fldChar w:fldCharType="end"/>
    </w:r>
  </w:p>
  <w:p w:rsidR="001A6790" w:rsidRPr="000D51B9" w:rsidRDefault="001A6790" w:rsidP="000D51B9">
    <w:pPr>
      <w:pStyle w:val="a5"/>
      <w:rPr>
        <w:lang w:val="ru-RU"/>
      </w:rPr>
    </w:pPr>
    <w:r>
      <w:rPr>
        <w:sz w:val="14"/>
        <w:szCs w:val="14"/>
        <w:lang w:val="ru-RU"/>
      </w:rPr>
      <w:t xml:space="preserve"> </w:t>
    </w:r>
    <w:r w:rsidRPr="00837B0F">
      <w:rPr>
        <w:sz w:val="14"/>
        <w:szCs w:val="14"/>
        <w:lang w:val="ru-RU"/>
      </w:rPr>
      <w:t xml:space="preserve">Галенович Антон Юрьевич, +79264342293, </w:t>
    </w:r>
    <w:hyperlink r:id="rId1" w:history="1">
      <w:r w:rsidRPr="00837B0F">
        <w:rPr>
          <w:rStyle w:val="a9"/>
          <w:sz w:val="14"/>
          <w:szCs w:val="14"/>
        </w:rPr>
        <w:t>Galenovich</w:t>
      </w:r>
      <w:r w:rsidRPr="00837B0F">
        <w:rPr>
          <w:rStyle w:val="a9"/>
          <w:sz w:val="14"/>
          <w:szCs w:val="14"/>
          <w:lang w:val="ru-RU"/>
        </w:rPr>
        <w:t>@</w:t>
      </w:r>
      <w:r w:rsidRPr="00837B0F">
        <w:rPr>
          <w:rStyle w:val="a9"/>
          <w:sz w:val="14"/>
          <w:szCs w:val="14"/>
        </w:rPr>
        <w:t>mail</w:t>
      </w:r>
      <w:r w:rsidRPr="00837B0F">
        <w:rPr>
          <w:rStyle w:val="a9"/>
          <w:sz w:val="14"/>
          <w:szCs w:val="14"/>
          <w:lang w:val="ru-RU"/>
        </w:rPr>
        <w:t>.</w:t>
      </w:r>
      <w:proofErr w:type="spellStart"/>
      <w:r w:rsidRPr="00837B0F">
        <w:rPr>
          <w:rStyle w:val="a9"/>
          <w:sz w:val="14"/>
          <w:szCs w:val="14"/>
        </w:rPr>
        <w:t>ru</w:t>
      </w:r>
      <w:proofErr w:type="spellEnd"/>
    </w:hyperlink>
    <w:r w:rsidRPr="00837B0F">
      <w:rPr>
        <w:sz w:val="14"/>
        <w:szCs w:val="14"/>
        <w:lang w:val="ru-R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40" w:rsidRDefault="00D67540" w:rsidP="00371193">
      <w:pPr>
        <w:spacing w:after="0" w:line="240" w:lineRule="auto"/>
      </w:pPr>
      <w:r>
        <w:separator/>
      </w:r>
    </w:p>
  </w:footnote>
  <w:footnote w:type="continuationSeparator" w:id="0">
    <w:p w:rsidR="00D67540" w:rsidRDefault="00D67540" w:rsidP="00371193">
      <w:pPr>
        <w:spacing w:after="0" w:line="240" w:lineRule="auto"/>
      </w:pPr>
      <w:r>
        <w:continuationSeparator/>
      </w:r>
    </w:p>
  </w:footnote>
  <w:footnote w:id="1">
    <w:p w:rsidR="000D272B" w:rsidRPr="00161384" w:rsidRDefault="000D272B" w:rsidP="000D272B">
      <w:pPr>
        <w:autoSpaceDE w:val="0"/>
        <w:autoSpaceDN w:val="0"/>
        <w:adjustRightInd w:val="0"/>
        <w:spacing w:after="0" w:line="240" w:lineRule="auto"/>
        <w:rPr>
          <w:rFonts w:ascii="BookAntiqua" w:hAnsi="BookAntiqua" w:cs="BookAntiqua"/>
        </w:rPr>
      </w:pPr>
      <w:r>
        <w:rPr>
          <w:rStyle w:val="ad"/>
        </w:rPr>
        <w:footnoteRef/>
      </w:r>
      <w:r>
        <w:t xml:space="preserve"> “…</w:t>
      </w:r>
      <w:r w:rsidRPr="00960C14">
        <w:rPr>
          <w:rFonts w:ascii="BookAntiqua" w:hAnsi="BookAntiqua" w:cs="BookAntiqua"/>
        </w:rPr>
        <w:t>the introduction of</w:t>
      </w:r>
      <w:r>
        <w:rPr>
          <w:rFonts w:ascii="BookAntiqua" w:hAnsi="BookAntiqua" w:cs="BookAntiqua"/>
        </w:rPr>
        <w:t xml:space="preserve"> </w:t>
      </w:r>
      <w:r w:rsidRPr="00960C14">
        <w:rPr>
          <w:rFonts w:ascii="BookAntiqua" w:hAnsi="BookAntiqua" w:cs="BookAntiqua"/>
        </w:rPr>
        <w:t xml:space="preserve">the EU </w:t>
      </w:r>
      <w:proofErr w:type="spellStart"/>
      <w:r w:rsidRPr="00960C14">
        <w:rPr>
          <w:rFonts w:ascii="BookAntiqua" w:hAnsi="BookAntiqua" w:cs="BookAntiqua"/>
        </w:rPr>
        <w:t>ETS</w:t>
      </w:r>
      <w:proofErr w:type="spellEnd"/>
      <w:r w:rsidRPr="00960C14">
        <w:rPr>
          <w:rFonts w:ascii="BookAntiqua" w:hAnsi="BookAntiqua" w:cs="BookAntiqua"/>
        </w:rPr>
        <w:t xml:space="preserve"> has led to the retention of some of the economic rent of</w:t>
      </w:r>
      <w:r>
        <w:rPr>
          <w:rFonts w:ascii="BookAntiqua" w:hAnsi="BookAntiqua" w:cs="BookAntiqua"/>
        </w:rPr>
        <w:t xml:space="preserve"> </w:t>
      </w:r>
      <w:r w:rsidRPr="00960C14">
        <w:rPr>
          <w:rFonts w:ascii="BookAntiqua" w:hAnsi="BookAntiqua" w:cs="BookAntiqua"/>
        </w:rPr>
        <w:t>producer countries, including Russia</w:t>
      </w:r>
      <w:r>
        <w:rPr>
          <w:rFonts w:ascii="BookAntiqua" w:hAnsi="BookAntiqua" w:cs="BookAntiqua"/>
        </w:rPr>
        <w:t xml:space="preserve">”, </w:t>
      </w:r>
      <w:r w:rsidRPr="00161384">
        <w:rPr>
          <w:rFonts w:ascii="BookAntiqua" w:hAnsi="BookAntiqua" w:cs="BookAntiqua"/>
        </w:rPr>
        <w:t>CLIMATE CHANGE AND TRADE</w:t>
      </w:r>
      <w:r>
        <w:rPr>
          <w:rFonts w:ascii="BookAntiqua" w:hAnsi="BookAntiqua" w:cs="BookAntiqua"/>
        </w:rPr>
        <w:t xml:space="preserve"> </w:t>
      </w:r>
      <w:r w:rsidRPr="00161384">
        <w:rPr>
          <w:rFonts w:ascii="BookAntiqua" w:hAnsi="BookAntiqua" w:cs="BookAntiqua"/>
        </w:rPr>
        <w:t>TAXING CARBON AT THE BORDER?</w:t>
      </w:r>
      <w:r>
        <w:rPr>
          <w:rFonts w:ascii="BookAntiqua" w:hAnsi="BookAntiqua" w:cs="BookAntiqua"/>
        </w:rPr>
        <w:t xml:space="preserve">, </w:t>
      </w:r>
      <w:r w:rsidRPr="00161384">
        <w:rPr>
          <w:rFonts w:ascii="BookAntiqua" w:hAnsi="BookAntiqua" w:cs="BookAntiqua"/>
        </w:rPr>
        <w:t>D</w:t>
      </w:r>
      <w:r>
        <w:rPr>
          <w:rFonts w:ascii="BookAntiqua" w:hAnsi="BookAntiqua" w:cs="BookAntiqua"/>
        </w:rPr>
        <w:t xml:space="preserve">aniel </w:t>
      </w:r>
      <w:proofErr w:type="spellStart"/>
      <w:r w:rsidRPr="00161384">
        <w:rPr>
          <w:rFonts w:ascii="BookAntiqua" w:hAnsi="BookAntiqua" w:cs="BookAntiqua"/>
        </w:rPr>
        <w:t>G</w:t>
      </w:r>
      <w:r>
        <w:rPr>
          <w:rFonts w:ascii="BookAntiqua" w:hAnsi="BookAntiqua" w:cs="BookAntiqua"/>
        </w:rPr>
        <w:t>ros</w:t>
      </w:r>
      <w:proofErr w:type="spellEnd"/>
      <w:r>
        <w:rPr>
          <w:rFonts w:ascii="BookAntiqua" w:hAnsi="BookAntiqua" w:cs="BookAntiqua"/>
        </w:rPr>
        <w:t xml:space="preserve">, </w:t>
      </w:r>
      <w:r w:rsidRPr="00161384">
        <w:rPr>
          <w:rFonts w:ascii="BookAntiqua" w:hAnsi="BookAntiqua" w:cs="BookAntiqua"/>
        </w:rPr>
        <w:t>C</w:t>
      </w:r>
      <w:r>
        <w:rPr>
          <w:rFonts w:ascii="BookAntiqua" w:hAnsi="BookAntiqua" w:cs="BookAntiqua"/>
        </w:rPr>
        <w:t xml:space="preserve">hristian </w:t>
      </w:r>
      <w:proofErr w:type="spellStart"/>
      <w:r>
        <w:rPr>
          <w:rFonts w:ascii="BookAntiqua" w:hAnsi="BookAntiqua" w:cs="BookAntiqua"/>
        </w:rPr>
        <w:t>Egenhofer</w:t>
      </w:r>
      <w:proofErr w:type="spellEnd"/>
      <w:r>
        <w:rPr>
          <w:rFonts w:ascii="BookAntiqua" w:hAnsi="BookAntiqua" w:cs="BookAntiqua"/>
        </w:rPr>
        <w:t xml:space="preserve"> et al, </w:t>
      </w:r>
      <w:r w:rsidRPr="00161384">
        <w:rPr>
          <w:rFonts w:ascii="BookAntiqua" w:hAnsi="BookAntiqua" w:cs="BookAntiqua"/>
        </w:rPr>
        <w:t>ISBN 978-92-9079-867-5</w:t>
      </w:r>
      <w:r>
        <w:rPr>
          <w:rFonts w:ascii="BookAntiqua" w:hAnsi="BookAntiqua" w:cs="BookAntiqua"/>
        </w:rPr>
        <w:t xml:space="preserve">, </w:t>
      </w:r>
      <w:r w:rsidRPr="00161384">
        <w:rPr>
          <w:rFonts w:ascii="BookAntiqua" w:hAnsi="BookAntiqua" w:cs="BookAntiqua"/>
        </w:rPr>
        <w:t>© Copyright 2010, Centre for European Policy Studies</w:t>
      </w:r>
      <w:r>
        <w:rPr>
          <w:rFonts w:ascii="BookAntiqua" w:hAnsi="BookAntiqua" w:cs="BookAntiqua"/>
        </w:rPr>
        <w:t>,</w:t>
      </w:r>
      <w:r w:rsidRPr="005D139E">
        <w:rPr>
          <w:rFonts w:asciiTheme="minorHAnsi" w:hAnsiTheme="minorHAnsi" w:cs="BookAntiqua"/>
        </w:rPr>
        <w:t xml:space="preserve"> </w:t>
      </w:r>
      <w:r>
        <w:rPr>
          <w:rFonts w:asciiTheme="minorHAnsi" w:hAnsiTheme="minorHAnsi" w:cs="BookAntiqua"/>
        </w:rPr>
        <w:t>Brussels,</w:t>
      </w:r>
      <w:r>
        <w:rPr>
          <w:rFonts w:ascii="BookAntiqua" w:hAnsi="BookAntiqua" w:cs="BookAntiqua"/>
        </w:rPr>
        <w:t xml:space="preserve"> p. 24</w:t>
      </w:r>
      <w:r w:rsidRPr="00161384">
        <w:rPr>
          <w:rFonts w:ascii="BookAntiqua" w:hAnsi="BookAntiqua" w:cs="BookAntiqua"/>
        </w:rPr>
        <w:t>.</w:t>
      </w:r>
    </w:p>
  </w:footnote>
  <w:footnote w:id="2">
    <w:p w:rsidR="000D272B" w:rsidRPr="00E22029" w:rsidRDefault="000D272B" w:rsidP="000D272B">
      <w:pPr>
        <w:pStyle w:val="ab"/>
      </w:pPr>
      <w:r>
        <w:rPr>
          <w:rStyle w:val="ad"/>
        </w:rPr>
        <w:footnoteRef/>
      </w:r>
      <w:r>
        <w:t xml:space="preserve"> </w:t>
      </w:r>
      <w:r w:rsidRPr="00E22029">
        <w:t>http://www.apec.org/Meeting-Papers/Leaders-Declarations/2011/2011_aelm.aspx</w:t>
      </w:r>
    </w:p>
  </w:footnote>
  <w:footnote w:id="3">
    <w:p w:rsidR="000D272B" w:rsidRPr="000141E7" w:rsidRDefault="000D272B" w:rsidP="000D272B">
      <w:pPr>
        <w:pStyle w:val="ab"/>
        <w:rPr>
          <w:lang w:val="ru-RU"/>
        </w:rPr>
      </w:pPr>
      <w:r>
        <w:rPr>
          <w:rStyle w:val="ad"/>
        </w:rPr>
        <w:footnoteRef/>
      </w:r>
      <w:r w:rsidRPr="000141E7">
        <w:rPr>
          <w:lang w:val="ru-RU"/>
        </w:rPr>
        <w:t xml:space="preserve"> </w:t>
      </w:r>
      <w:r w:rsidRPr="00A22A44">
        <w:rPr>
          <w:lang w:val="ru-RU"/>
        </w:rPr>
        <w:t xml:space="preserve">В рамках механизмов/систем торговли атмосферными эмиссиями «кредит» -  это постоянное, подтвержденное, избыточное, фактическое и измеримое сокращение выбросов из источника, равное эквиваленту 1 т CO2. </w:t>
      </w:r>
      <w:r>
        <w:rPr>
          <w:lang w:val="ru-RU"/>
        </w:rPr>
        <w:t>В системах стимулирования возобновляемой энергетики «кредит» - это подтверждение, сертификат о выработке на основе возобновляемого источника 1 МВт электроэнергии</w:t>
      </w:r>
      <w:proofErr w:type="gramStart"/>
      <w:r>
        <w:rPr>
          <w:lang w:val="ru-RU"/>
        </w:rPr>
        <w:t xml:space="preserve"> ,</w:t>
      </w:r>
      <w:proofErr w:type="gramEnd"/>
      <w:r>
        <w:rPr>
          <w:lang w:val="ru-RU"/>
        </w:rPr>
        <w:t xml:space="preserve"> нематериальный актив в обращении в рамках таких систем</w:t>
      </w:r>
    </w:p>
  </w:footnote>
  <w:footnote w:id="4">
    <w:p w:rsidR="000D272B" w:rsidRPr="000D272B" w:rsidRDefault="000D272B" w:rsidP="000D272B">
      <w:pPr>
        <w:spacing w:after="0" w:line="240" w:lineRule="auto"/>
      </w:pPr>
      <w:r>
        <w:rPr>
          <w:rStyle w:val="ad"/>
        </w:rPr>
        <w:footnoteRef/>
      </w:r>
      <w:r w:rsidRPr="000D272B">
        <w:t xml:space="preserve"> </w:t>
      </w:r>
      <w:r w:rsidRPr="008611E8">
        <w:rPr>
          <w:rFonts w:ascii="Verdana" w:hAnsi="Verdana"/>
          <w:sz w:val="16"/>
          <w:szCs w:val="25"/>
        </w:rPr>
        <w:t>CHINA</w:t>
      </w:r>
      <w:r w:rsidRPr="000D272B">
        <w:rPr>
          <w:rFonts w:ascii="Verdana" w:hAnsi="Verdana"/>
          <w:sz w:val="16"/>
          <w:szCs w:val="25"/>
        </w:rPr>
        <w:t xml:space="preserve"> </w:t>
      </w:r>
      <w:r w:rsidRPr="008611E8">
        <w:rPr>
          <w:rFonts w:ascii="Verdana" w:hAnsi="Verdana"/>
          <w:sz w:val="16"/>
          <w:szCs w:val="25"/>
        </w:rPr>
        <w:t>DAILY</w:t>
      </w:r>
      <w:r w:rsidRPr="000D272B">
        <w:rPr>
          <w:rFonts w:ascii="Verdana" w:hAnsi="Verdana"/>
          <w:sz w:val="16"/>
          <w:szCs w:val="25"/>
        </w:rPr>
        <w:t xml:space="preserve">, </w:t>
      </w:r>
      <w:r w:rsidRPr="008611E8">
        <w:rPr>
          <w:rFonts w:ascii="Verdana" w:hAnsi="Verdana"/>
          <w:sz w:val="16"/>
          <w:szCs w:val="25"/>
        </w:rPr>
        <w:t>November</w:t>
      </w:r>
      <w:r w:rsidRPr="000D272B">
        <w:rPr>
          <w:rFonts w:ascii="Verdana" w:hAnsi="Verdana"/>
          <w:sz w:val="16"/>
          <w:szCs w:val="25"/>
        </w:rPr>
        <w:t xml:space="preserve"> 6, 2011</w:t>
      </w:r>
    </w:p>
  </w:footnote>
  <w:footnote w:id="5">
    <w:p w:rsidR="000D272B" w:rsidRPr="00841B2A" w:rsidRDefault="000D272B" w:rsidP="000D272B">
      <w:pPr>
        <w:pStyle w:val="ab"/>
      </w:pPr>
      <w:r>
        <w:rPr>
          <w:rStyle w:val="ad"/>
        </w:rPr>
        <w:footnoteRef/>
      </w:r>
      <w:r w:rsidRPr="00841B2A">
        <w:t xml:space="preserve"> </w:t>
      </w:r>
      <w:proofErr w:type="gramStart"/>
      <w:r w:rsidRPr="00841B2A">
        <w:t>Hatfield-</w:t>
      </w:r>
      <w:proofErr w:type="spellStart"/>
      <w:r w:rsidRPr="00841B2A">
        <w:t>Dodds</w:t>
      </w:r>
      <w:proofErr w:type="spellEnd"/>
      <w:r w:rsidRPr="00841B2A">
        <w:t xml:space="preserve"> et al, 2007, Leader, Follower or Free Rider?</w:t>
      </w:r>
      <w:proofErr w:type="gramEnd"/>
      <w:r w:rsidRPr="00841B2A">
        <w:t xml:space="preserve"> </w:t>
      </w:r>
      <w:proofErr w:type="gramStart"/>
      <w:r w:rsidRPr="00841B2A">
        <w:t>The economic impacts of different Australian emissions targets.</w:t>
      </w:r>
      <w:proofErr w:type="gramEnd"/>
      <w:r w:rsidRPr="00841B2A">
        <w:t xml:space="preserve"> The Climate Institute </w:t>
      </w:r>
      <w:hyperlink r:id="rId1" w:history="1">
        <w:r w:rsidRPr="00841B2A">
          <w:rPr>
            <w:rStyle w:val="a9"/>
          </w:rPr>
          <w:t>www.climateinstitute.org.au</w:t>
        </w:r>
      </w:hyperlink>
      <w:r w:rsidRPr="00841B2A">
        <w:t xml:space="preserve"> </w:t>
      </w:r>
      <w:r>
        <w:t xml:space="preserve">, </w:t>
      </w:r>
      <w:r w:rsidRPr="00841B2A">
        <w:t>T</w:t>
      </w:r>
      <w:r>
        <w:t>he Australian March 20, 2008</w:t>
      </w:r>
    </w:p>
  </w:footnote>
  <w:footnote w:id="6">
    <w:p w:rsidR="000D272B" w:rsidRPr="008D5A15" w:rsidRDefault="000D272B" w:rsidP="000D272B">
      <w:pPr>
        <w:pStyle w:val="ab"/>
      </w:pPr>
      <w:r>
        <w:rPr>
          <w:rStyle w:val="ad"/>
        </w:rPr>
        <w:footnoteRef/>
      </w:r>
      <w:r>
        <w:t xml:space="preserve"> </w:t>
      </w:r>
      <w:hyperlink r:id="rId2" w:history="1">
        <w:r w:rsidRPr="00651F8B">
          <w:rPr>
            <w:rStyle w:val="a9"/>
          </w:rPr>
          <w:t>http://www.treasury.govt.nz/publications/media-speeches/speeches/emissionstrading</w:t>
        </w:r>
      </w:hyperlink>
      <w:r w:rsidRPr="008D5A15">
        <w:t xml:space="preserve"> </w:t>
      </w:r>
    </w:p>
  </w:footnote>
  <w:footnote w:id="7">
    <w:p w:rsidR="000D272B" w:rsidRPr="002D3490" w:rsidRDefault="000D272B" w:rsidP="000D272B">
      <w:pPr>
        <w:pStyle w:val="ab"/>
      </w:pPr>
      <w:r>
        <w:rPr>
          <w:rStyle w:val="ad"/>
        </w:rPr>
        <w:footnoteRef/>
      </w:r>
      <w:r>
        <w:t xml:space="preserve"> </w:t>
      </w:r>
      <w:r w:rsidRPr="002D3490">
        <w:t>Data source: International Energy Agency (2001), CO2 emissions from fuel combustion (2001 Edition)</w:t>
      </w:r>
    </w:p>
  </w:footnote>
  <w:footnote w:id="8">
    <w:p w:rsidR="000D272B" w:rsidRPr="008D5A15" w:rsidRDefault="000D272B" w:rsidP="000D272B">
      <w:pPr>
        <w:pStyle w:val="ab"/>
      </w:pPr>
      <w:r>
        <w:rPr>
          <w:rStyle w:val="ad"/>
        </w:rPr>
        <w:footnoteRef/>
      </w:r>
      <w:r w:rsidRPr="008D5A15">
        <w:t xml:space="preserve"> </w:t>
      </w:r>
      <w:hyperlink r:id="rId3" w:history="1">
        <w:r w:rsidRPr="008D5A15">
          <w:rPr>
            <w:rStyle w:val="a9"/>
          </w:rPr>
          <w:t>http://www.unep.org/greeneconomy/Portals/88/documents/ger/GER_summary_ru.pdf</w:t>
        </w:r>
      </w:hyperlink>
      <w:r w:rsidRPr="008D5A15">
        <w:t xml:space="preserve"> </w:t>
      </w:r>
    </w:p>
  </w:footnote>
  <w:footnote w:id="9">
    <w:p w:rsidR="001A6790" w:rsidRPr="00DB60CC" w:rsidRDefault="001A6790" w:rsidP="007D6401">
      <w:pPr>
        <w:pStyle w:val="ab"/>
        <w:rPr>
          <w:lang w:val="ru-RU"/>
        </w:rPr>
      </w:pPr>
      <w:r>
        <w:rPr>
          <w:rStyle w:val="ad"/>
        </w:rPr>
        <w:footnoteRef/>
      </w:r>
      <w:r w:rsidRPr="00DB60CC">
        <w:rPr>
          <w:lang w:val="ru-RU"/>
        </w:rPr>
        <w:t xml:space="preserve"> </w:t>
      </w:r>
      <w:r w:rsidRPr="0020178B">
        <w:rPr>
          <w:lang w:val="ru-RU"/>
        </w:rPr>
        <w:t xml:space="preserve">Теория была развита </w:t>
      </w:r>
      <w:proofErr w:type="spellStart"/>
      <w:r w:rsidRPr="0020178B">
        <w:rPr>
          <w:lang w:val="ru-RU"/>
        </w:rPr>
        <w:t>Дэниэлом</w:t>
      </w:r>
      <w:proofErr w:type="spellEnd"/>
      <w:r w:rsidRPr="0020178B">
        <w:rPr>
          <w:lang w:val="ru-RU"/>
        </w:rPr>
        <w:t xml:space="preserve"> </w:t>
      </w:r>
      <w:proofErr w:type="spellStart"/>
      <w:r w:rsidRPr="0020178B">
        <w:rPr>
          <w:lang w:val="ru-RU"/>
        </w:rPr>
        <w:t>Канеманом</w:t>
      </w:r>
      <w:proofErr w:type="spellEnd"/>
      <w:r w:rsidRPr="0020178B">
        <w:rPr>
          <w:lang w:val="ru-RU"/>
        </w:rPr>
        <w:t xml:space="preserve"> и </w:t>
      </w:r>
      <w:proofErr w:type="spellStart"/>
      <w:r w:rsidRPr="0020178B">
        <w:rPr>
          <w:lang w:val="ru-RU"/>
        </w:rPr>
        <w:t>Амосом</w:t>
      </w:r>
      <w:proofErr w:type="spellEnd"/>
      <w:r w:rsidRPr="0020178B">
        <w:rPr>
          <w:lang w:val="ru-RU"/>
        </w:rPr>
        <w:t xml:space="preserve"> </w:t>
      </w:r>
      <w:proofErr w:type="spellStart"/>
      <w:r w:rsidRPr="0020178B">
        <w:rPr>
          <w:lang w:val="ru-RU"/>
        </w:rPr>
        <w:t>Тверски</w:t>
      </w:r>
      <w:proofErr w:type="spellEnd"/>
      <w:r w:rsidRPr="0020178B">
        <w:rPr>
          <w:lang w:val="ru-RU"/>
        </w:rPr>
        <w:t xml:space="preserve"> в 1979. </w:t>
      </w:r>
      <w:r>
        <w:rPr>
          <w:lang w:val="ru-RU"/>
        </w:rPr>
        <w:t>Теория</w:t>
      </w:r>
      <w:r w:rsidRPr="0020178B">
        <w:rPr>
          <w:lang w:val="ru-RU"/>
        </w:rPr>
        <w:t xml:space="preserve"> описывает</w:t>
      </w:r>
      <w:r>
        <w:rPr>
          <w:lang w:val="ru-RU"/>
        </w:rPr>
        <w:t xml:space="preserve"> и</w:t>
      </w:r>
      <w:r w:rsidRPr="00DB60CC">
        <w:rPr>
          <w:lang w:val="ru-RU"/>
        </w:rPr>
        <w:t>ррациональност</w:t>
      </w:r>
      <w:r>
        <w:rPr>
          <w:lang w:val="ru-RU"/>
        </w:rPr>
        <w:t>ь</w:t>
      </w:r>
      <w:r w:rsidRPr="00DB60CC">
        <w:rPr>
          <w:lang w:val="ru-RU"/>
        </w:rPr>
        <w:t xml:space="preserve"> отношения человека к риску в принятии решений и в управлении своим поведением</w:t>
      </w:r>
      <w:r>
        <w:rPr>
          <w:lang w:val="ru-RU"/>
        </w:rPr>
        <w:t xml:space="preserve">. Д. </w:t>
      </w:r>
      <w:proofErr w:type="spellStart"/>
      <w:r>
        <w:rPr>
          <w:lang w:val="ru-RU"/>
        </w:rPr>
        <w:t>Канеман</w:t>
      </w:r>
      <w:proofErr w:type="spellEnd"/>
      <w:r>
        <w:rPr>
          <w:lang w:val="ru-RU"/>
        </w:rPr>
        <w:t xml:space="preserve"> в 2002 г. разделил Нобелевскую премию по экономике за эти исследования</w:t>
      </w:r>
    </w:p>
  </w:footnote>
  <w:footnote w:id="10">
    <w:p w:rsidR="001A6790" w:rsidRDefault="001A6790" w:rsidP="007D6401">
      <w:pPr>
        <w:pStyle w:val="ab"/>
      </w:pPr>
      <w:r w:rsidRPr="00444642">
        <w:rPr>
          <w:rFonts w:ascii="Verdana" w:hAnsi="Verdana"/>
          <w:sz w:val="16"/>
          <w:szCs w:val="25"/>
        </w:rPr>
        <w:footnoteRef/>
      </w:r>
      <w:r w:rsidRPr="00444642">
        <w:rPr>
          <w:rFonts w:ascii="Verdana" w:hAnsi="Verdana"/>
          <w:sz w:val="16"/>
          <w:szCs w:val="25"/>
        </w:rPr>
        <w:t xml:space="preserve"> “The emissions embodied in exports in </w:t>
      </w:r>
      <w:r w:rsidRPr="00243028">
        <w:rPr>
          <w:rFonts w:ascii="Verdana" w:hAnsi="Verdana"/>
          <w:sz w:val="16"/>
          <w:szCs w:val="25"/>
        </w:rPr>
        <w:t>2002</w:t>
      </w:r>
      <w:r w:rsidRPr="00444642">
        <w:rPr>
          <w:rFonts w:ascii="Verdana" w:hAnsi="Verdana"/>
          <w:sz w:val="16"/>
          <w:szCs w:val="25"/>
        </w:rPr>
        <w:t xml:space="preserve"> were equal to 372 Mt CO2, which represented around 34 per cent of all the country’s CO2 emissions calculated on the production basis”, International Trade and Carbon Leakage: An Analytical Framework for India and Russia</w:t>
      </w:r>
      <w:r>
        <w:rPr>
          <w:rFonts w:ascii="Verdana" w:hAnsi="Verdana"/>
          <w:sz w:val="16"/>
          <w:szCs w:val="25"/>
        </w:rPr>
        <w:t xml:space="preserve">, </w:t>
      </w:r>
      <w:proofErr w:type="spellStart"/>
      <w:r w:rsidRPr="00444642">
        <w:rPr>
          <w:rFonts w:ascii="Verdana" w:hAnsi="Verdana"/>
          <w:sz w:val="16"/>
          <w:szCs w:val="25"/>
        </w:rPr>
        <w:t>Meeta</w:t>
      </w:r>
      <w:proofErr w:type="spellEnd"/>
      <w:r w:rsidRPr="00444642">
        <w:rPr>
          <w:rFonts w:ascii="Verdana" w:hAnsi="Verdana"/>
          <w:sz w:val="16"/>
          <w:szCs w:val="25"/>
        </w:rPr>
        <w:t xml:space="preserve"> </w:t>
      </w:r>
      <w:proofErr w:type="spellStart"/>
      <w:r w:rsidRPr="00444642">
        <w:rPr>
          <w:rFonts w:ascii="Verdana" w:hAnsi="Verdana"/>
          <w:sz w:val="16"/>
          <w:szCs w:val="25"/>
        </w:rPr>
        <w:t>Mehra</w:t>
      </w:r>
      <w:proofErr w:type="spellEnd"/>
      <w:r w:rsidRPr="00444642">
        <w:rPr>
          <w:rFonts w:ascii="Verdana" w:hAnsi="Verdana"/>
          <w:sz w:val="16"/>
          <w:szCs w:val="25"/>
        </w:rPr>
        <w:t xml:space="preserve">, </w:t>
      </w:r>
      <w:proofErr w:type="spellStart"/>
      <w:r w:rsidRPr="00444642">
        <w:rPr>
          <w:rFonts w:ascii="Verdana" w:hAnsi="Verdana"/>
          <w:sz w:val="16"/>
          <w:szCs w:val="25"/>
        </w:rPr>
        <w:t>Aparna</w:t>
      </w:r>
      <w:proofErr w:type="spellEnd"/>
      <w:r w:rsidRPr="00444642">
        <w:rPr>
          <w:rFonts w:ascii="Verdana" w:hAnsi="Verdana"/>
          <w:sz w:val="16"/>
          <w:szCs w:val="25"/>
        </w:rPr>
        <w:t xml:space="preserve"> </w:t>
      </w:r>
      <w:proofErr w:type="spellStart"/>
      <w:r w:rsidRPr="00444642">
        <w:rPr>
          <w:rFonts w:ascii="Verdana" w:hAnsi="Verdana"/>
          <w:sz w:val="16"/>
          <w:szCs w:val="25"/>
        </w:rPr>
        <w:t>Sawhney</w:t>
      </w:r>
      <w:proofErr w:type="spellEnd"/>
      <w:r w:rsidRPr="00444642">
        <w:rPr>
          <w:rFonts w:ascii="Verdana" w:hAnsi="Verdana"/>
          <w:sz w:val="16"/>
          <w:szCs w:val="25"/>
        </w:rPr>
        <w:t xml:space="preserve">, </w:t>
      </w:r>
      <w:proofErr w:type="spellStart"/>
      <w:r w:rsidRPr="00444642">
        <w:rPr>
          <w:rFonts w:ascii="Verdana" w:hAnsi="Verdana"/>
          <w:sz w:val="16"/>
          <w:szCs w:val="25"/>
        </w:rPr>
        <w:t>Rashmi</w:t>
      </w:r>
      <w:proofErr w:type="spellEnd"/>
      <w:r w:rsidRPr="00444642">
        <w:rPr>
          <w:rFonts w:ascii="Verdana" w:hAnsi="Verdana"/>
          <w:sz w:val="16"/>
          <w:szCs w:val="25"/>
        </w:rPr>
        <w:t xml:space="preserve"> </w:t>
      </w:r>
      <w:proofErr w:type="spellStart"/>
      <w:r w:rsidRPr="00444642">
        <w:rPr>
          <w:rFonts w:ascii="Verdana" w:hAnsi="Verdana"/>
          <w:sz w:val="16"/>
          <w:szCs w:val="25"/>
        </w:rPr>
        <w:t>Rastogi</w:t>
      </w:r>
      <w:proofErr w:type="spellEnd"/>
      <w:r w:rsidRPr="00444642">
        <w:rPr>
          <w:rFonts w:ascii="Verdana" w:hAnsi="Verdana"/>
          <w:sz w:val="16"/>
          <w:szCs w:val="25"/>
        </w:rPr>
        <w:t xml:space="preserve">, </w:t>
      </w:r>
      <w:r w:rsidRPr="00444642">
        <w:t xml:space="preserve"> </w:t>
      </w:r>
      <w:r w:rsidRPr="00444642">
        <w:rPr>
          <w:rFonts w:ascii="Verdana" w:hAnsi="Verdana"/>
          <w:sz w:val="16"/>
          <w:szCs w:val="25"/>
        </w:rPr>
        <w:t>School of International Studies, Centre for International Trade and Development</w:t>
      </w:r>
      <w:r>
        <w:rPr>
          <w:rFonts w:ascii="Verdana" w:hAnsi="Verdana"/>
          <w:sz w:val="16"/>
          <w:szCs w:val="25"/>
        </w:rPr>
        <w:t xml:space="preserve">, </w:t>
      </w:r>
      <w:r w:rsidRPr="00444642">
        <w:rPr>
          <w:rFonts w:ascii="Verdana" w:hAnsi="Verdana"/>
          <w:sz w:val="16"/>
          <w:szCs w:val="25"/>
        </w:rPr>
        <w:t>Jawaharlal Nehru University, India</w:t>
      </w:r>
      <w:r>
        <w:rPr>
          <w:rFonts w:ascii="Verdana" w:hAnsi="Verdana"/>
          <w:sz w:val="16"/>
          <w:szCs w:val="25"/>
        </w:rPr>
        <w:t xml:space="preserve">, </w:t>
      </w:r>
      <w:r w:rsidRPr="00444642">
        <w:rPr>
          <w:rFonts w:ascii="Verdana" w:hAnsi="Verdana"/>
          <w:sz w:val="16"/>
          <w:szCs w:val="25"/>
        </w:rPr>
        <w:t xml:space="preserve">Natalia </w:t>
      </w:r>
      <w:proofErr w:type="spellStart"/>
      <w:r w:rsidRPr="00444642">
        <w:rPr>
          <w:rFonts w:ascii="Verdana" w:hAnsi="Verdana"/>
          <w:sz w:val="16"/>
          <w:szCs w:val="25"/>
        </w:rPr>
        <w:t>Piskulova</w:t>
      </w:r>
      <w:proofErr w:type="spellEnd"/>
      <w:r w:rsidRPr="00444642">
        <w:rPr>
          <w:rFonts w:ascii="Verdana" w:hAnsi="Verdana"/>
          <w:sz w:val="16"/>
          <w:szCs w:val="25"/>
        </w:rPr>
        <w:t xml:space="preserve">, Anna </w:t>
      </w:r>
      <w:proofErr w:type="spellStart"/>
      <w:r w:rsidRPr="00444642">
        <w:rPr>
          <w:rFonts w:ascii="Verdana" w:hAnsi="Verdana"/>
          <w:sz w:val="16"/>
          <w:szCs w:val="25"/>
        </w:rPr>
        <w:t>Abramova</w:t>
      </w:r>
      <w:proofErr w:type="spellEnd"/>
      <w:r w:rsidRPr="00444642">
        <w:rPr>
          <w:rFonts w:ascii="Verdana" w:hAnsi="Verdana"/>
          <w:sz w:val="16"/>
          <w:szCs w:val="25"/>
        </w:rPr>
        <w:t>, Moscow State Institute of International Relations, Russian Federation</w:t>
      </w:r>
      <w:r>
        <w:rPr>
          <w:rFonts w:ascii="Verdana" w:hAnsi="Verdana"/>
          <w:sz w:val="16"/>
          <w:szCs w:val="25"/>
        </w:rPr>
        <w:t xml:space="preserve">, </w:t>
      </w:r>
      <w:proofErr w:type="spellStart"/>
      <w:r w:rsidRPr="0074643F">
        <w:t>UNCTAD</w:t>
      </w:r>
      <w:proofErr w:type="spellEnd"/>
      <w:r w:rsidRPr="0074643F">
        <w:t xml:space="preserve"> Virtual Institute, Knowledge Sharing, Training and Capacity Development Branch, </w:t>
      </w:r>
      <w:r w:rsidRPr="005D21F4">
        <w:rPr>
          <w:lang w:val="fr-CH"/>
        </w:rPr>
        <w:t>Division on Technology and Logistics</w:t>
      </w:r>
    </w:p>
  </w:footnote>
  <w:footnote w:id="11">
    <w:p w:rsidR="001A6790" w:rsidRPr="00093044" w:rsidRDefault="001A6790" w:rsidP="007D6401">
      <w:pPr>
        <w:pStyle w:val="ab"/>
        <w:rPr>
          <w:lang w:val="ru-RU"/>
        </w:rPr>
      </w:pPr>
      <w:r>
        <w:rPr>
          <w:rStyle w:val="ad"/>
        </w:rPr>
        <w:footnoteRef/>
      </w:r>
      <w:r w:rsidRPr="00093044">
        <w:rPr>
          <w:lang w:val="ru-RU"/>
        </w:rPr>
        <w:t xml:space="preserve"> </w:t>
      </w:r>
      <w:r w:rsidRPr="008611E8">
        <w:rPr>
          <w:rFonts w:ascii="Verdana" w:hAnsi="Verdana"/>
          <w:sz w:val="16"/>
          <w:szCs w:val="25"/>
          <w:lang w:val="ru-RU"/>
        </w:rPr>
        <w:t>за 2008-2012 РФ экономит не менее 6 млрд. т СО</w:t>
      </w:r>
      <w:proofErr w:type="gramStart"/>
      <w:r w:rsidRPr="008611E8">
        <w:rPr>
          <w:rFonts w:ascii="Verdana" w:hAnsi="Verdana"/>
          <w:sz w:val="16"/>
          <w:szCs w:val="25"/>
          <w:lang w:val="ru-RU"/>
        </w:rPr>
        <w:t>2</w:t>
      </w:r>
      <w:proofErr w:type="gramEnd"/>
      <w:r w:rsidRPr="008611E8">
        <w:rPr>
          <w:rFonts w:ascii="Verdana" w:hAnsi="Verdana"/>
          <w:sz w:val="16"/>
          <w:szCs w:val="25"/>
          <w:lang w:val="ru-RU"/>
        </w:rPr>
        <w:t xml:space="preserve"> в </w:t>
      </w:r>
      <w:r w:rsidRPr="00093044">
        <w:rPr>
          <w:rFonts w:ascii="Verdana" w:hAnsi="Verdana"/>
          <w:sz w:val="16"/>
          <w:szCs w:val="25"/>
        </w:rPr>
        <w:t>AAU</w:t>
      </w:r>
      <w:r w:rsidRPr="008611E8">
        <w:rPr>
          <w:rFonts w:ascii="Verdana" w:hAnsi="Verdana"/>
          <w:sz w:val="16"/>
          <w:szCs w:val="25"/>
          <w:lang w:val="ru-RU"/>
        </w:rPr>
        <w:t xml:space="preserve">, есть также 600 млн. т СО2 в </w:t>
      </w:r>
      <w:proofErr w:type="spellStart"/>
      <w:r w:rsidRPr="00093044">
        <w:rPr>
          <w:rFonts w:ascii="Verdana" w:hAnsi="Verdana"/>
          <w:sz w:val="16"/>
          <w:szCs w:val="25"/>
        </w:rPr>
        <w:t>RMU</w:t>
      </w:r>
      <w:proofErr w:type="spellEnd"/>
      <w:r w:rsidRPr="008611E8">
        <w:rPr>
          <w:rFonts w:ascii="Verdana" w:hAnsi="Verdana"/>
          <w:sz w:val="16"/>
          <w:szCs w:val="25"/>
          <w:lang w:val="ru-RU"/>
        </w:rPr>
        <w:t xml:space="preserve"> – лесных квот, за 2013-2020 экономия при целевом уровне -25% к 2020 г. составит примерно 4-5 млрд. т СО2, плюс зачет лесных поглощений на 300-500 млн. т СО2 в год – это еще 2,4-4 млрд. т СО2. </w:t>
      </w:r>
      <w:r w:rsidRPr="00944FBF">
        <w:rPr>
          <w:rFonts w:ascii="Verdana" w:hAnsi="Verdana"/>
          <w:sz w:val="16"/>
          <w:szCs w:val="25"/>
          <w:lang w:val="ru-RU"/>
        </w:rPr>
        <w:t>То есть суммарно РФ может получить 12,4-15 млрд. т СО</w:t>
      </w:r>
      <w:proofErr w:type="gramStart"/>
      <w:r w:rsidRPr="00944FBF">
        <w:rPr>
          <w:rFonts w:ascii="Verdana" w:hAnsi="Verdana"/>
          <w:sz w:val="16"/>
          <w:szCs w:val="25"/>
          <w:lang w:val="ru-RU"/>
        </w:rPr>
        <w:t>2</w:t>
      </w:r>
      <w:proofErr w:type="gramEnd"/>
      <w:r w:rsidRPr="00944FBF">
        <w:rPr>
          <w:rFonts w:ascii="Verdana" w:hAnsi="Verdana"/>
          <w:sz w:val="16"/>
          <w:szCs w:val="25"/>
          <w:lang w:val="ru-RU"/>
        </w:rPr>
        <w:t xml:space="preserve"> за период 2008-2020 гг.!</w:t>
      </w:r>
    </w:p>
  </w:footnote>
  <w:footnote w:id="12">
    <w:p w:rsidR="001A6790" w:rsidRPr="00093044" w:rsidRDefault="001A6790" w:rsidP="007D6401">
      <w:pPr>
        <w:pStyle w:val="ab"/>
        <w:rPr>
          <w:lang w:val="ru-RU"/>
        </w:rPr>
      </w:pPr>
      <w:r>
        <w:rPr>
          <w:rStyle w:val="ad"/>
        </w:rPr>
        <w:footnoteRef/>
      </w:r>
      <w:r w:rsidRPr="00093044">
        <w:rPr>
          <w:lang w:val="ru-RU"/>
        </w:rPr>
        <w:t xml:space="preserve"> </w:t>
      </w:r>
      <w:proofErr w:type="gramStart"/>
      <w:r w:rsidRPr="00093044">
        <w:rPr>
          <w:rFonts w:ascii="Verdana" w:hAnsi="Verdana"/>
          <w:sz w:val="16"/>
          <w:szCs w:val="25"/>
          <w:lang w:val="ru-RU"/>
        </w:rPr>
        <w:t xml:space="preserve">только углеродные доходы будут недополучены в размере 8,8 трлн. руб. за 2008-2020, то есть около 800 млрд. </w:t>
      </w:r>
      <w:proofErr w:type="spellStart"/>
      <w:r w:rsidRPr="00093044">
        <w:rPr>
          <w:rFonts w:ascii="Verdana" w:hAnsi="Verdana"/>
          <w:sz w:val="16"/>
          <w:szCs w:val="25"/>
          <w:lang w:val="ru-RU"/>
        </w:rPr>
        <w:t>руб</w:t>
      </w:r>
      <w:proofErr w:type="spellEnd"/>
      <w:r w:rsidRPr="00093044">
        <w:rPr>
          <w:rFonts w:ascii="Verdana" w:hAnsi="Verdana"/>
          <w:sz w:val="16"/>
          <w:szCs w:val="25"/>
          <w:lang w:val="ru-RU"/>
        </w:rPr>
        <w:t xml:space="preserve"> в год, при текущем ВВП около 33 трлн. руб./год это составляет примерно 2,4%. Потери также должны включать расходы авиакомпаний на покупку чужих квот, потери морского транспорта, </w:t>
      </w:r>
      <w:proofErr w:type="spellStart"/>
      <w:r w:rsidRPr="00093044">
        <w:rPr>
          <w:rFonts w:ascii="Verdana" w:hAnsi="Verdana"/>
          <w:sz w:val="16"/>
          <w:szCs w:val="25"/>
          <w:lang w:val="ru-RU"/>
        </w:rPr>
        <w:t>недополучение</w:t>
      </w:r>
      <w:proofErr w:type="spellEnd"/>
      <w:r w:rsidRPr="00093044">
        <w:rPr>
          <w:rFonts w:ascii="Verdana" w:hAnsi="Verdana"/>
          <w:sz w:val="16"/>
          <w:szCs w:val="25"/>
          <w:lang w:val="ru-RU"/>
        </w:rPr>
        <w:t xml:space="preserve"> доходов от снижения выбросов промпредприятиями, расходы на соответствие международным стандартам и мн.др. На</w:t>
      </w:r>
      <w:proofErr w:type="gramEnd"/>
      <w:r w:rsidRPr="00093044">
        <w:rPr>
          <w:rFonts w:ascii="Verdana" w:hAnsi="Verdana"/>
          <w:sz w:val="16"/>
          <w:szCs w:val="25"/>
          <w:lang w:val="ru-RU"/>
        </w:rPr>
        <w:t xml:space="preserve"> это добавляем скромно еще 0,5-1%, хотя это очень консервативно</w:t>
      </w:r>
    </w:p>
  </w:footnote>
  <w:footnote w:id="13">
    <w:p w:rsidR="001A6790" w:rsidRPr="008611E8" w:rsidRDefault="001A6790" w:rsidP="007D6401">
      <w:pPr>
        <w:pStyle w:val="ab"/>
        <w:rPr>
          <w:rFonts w:ascii="Verdana" w:hAnsi="Verdana"/>
          <w:sz w:val="16"/>
          <w:szCs w:val="25"/>
          <w:lang w:val="ru-RU"/>
        </w:rPr>
      </w:pPr>
      <w:r>
        <w:rPr>
          <w:rStyle w:val="ad"/>
        </w:rPr>
        <w:footnoteRef/>
      </w:r>
      <w:r w:rsidRPr="008611E8">
        <w:rPr>
          <w:lang w:val="ru-RU"/>
        </w:rPr>
        <w:t xml:space="preserve"> </w:t>
      </w:r>
      <w:proofErr w:type="spellStart"/>
      <w:r w:rsidRPr="008611E8">
        <w:rPr>
          <w:rFonts w:ascii="Verdana" w:hAnsi="Verdana"/>
          <w:sz w:val="16"/>
          <w:szCs w:val="25"/>
          <w:lang w:val="ru-RU"/>
        </w:rPr>
        <w:t>недополучение</w:t>
      </w:r>
      <w:proofErr w:type="spellEnd"/>
      <w:r w:rsidRPr="008611E8">
        <w:rPr>
          <w:rFonts w:ascii="Verdana" w:hAnsi="Verdana"/>
          <w:sz w:val="16"/>
          <w:szCs w:val="25"/>
          <w:lang w:val="ru-RU"/>
        </w:rPr>
        <w:t xml:space="preserve"> только углеродных доходов – около 800 млрд. руб. в год до 2020 г., при среднем доходе на душу населения примерно 220000 рублей в год, недополучат доходов 3,6 млн. человек! При очень консервативном подходе – что на 1 рабочее место надо тратить в 3,6 раза больше денег - мы недополучаем 1 млн. полных рабочих мест. А ведь еще надо учесть потери в отраслях от снижения конкурентоспособности!</w:t>
      </w:r>
    </w:p>
  </w:footnote>
  <w:footnote w:id="14">
    <w:p w:rsidR="001A6790" w:rsidRPr="00093044" w:rsidRDefault="001A6790" w:rsidP="007D6401">
      <w:pPr>
        <w:pStyle w:val="ab"/>
        <w:rPr>
          <w:lang w:val="ru-RU"/>
        </w:rPr>
      </w:pPr>
      <w:r>
        <w:rPr>
          <w:rStyle w:val="ad"/>
        </w:rPr>
        <w:footnoteRef/>
      </w:r>
      <w:r w:rsidRPr="00093044">
        <w:rPr>
          <w:lang w:val="ru-RU"/>
        </w:rPr>
        <w:t xml:space="preserve"> </w:t>
      </w:r>
      <w:hyperlink r:id="rId4" w:history="1">
        <w:r>
          <w:rPr>
            <w:rStyle w:val="a9"/>
          </w:rPr>
          <w:t>http</w:t>
        </w:r>
        <w:r w:rsidRPr="00093044">
          <w:rPr>
            <w:rStyle w:val="a9"/>
            <w:lang w:val="ru-RU"/>
          </w:rPr>
          <w:t>://</w:t>
        </w:r>
        <w:proofErr w:type="spellStart"/>
        <w:r>
          <w:rPr>
            <w:rStyle w:val="a9"/>
          </w:rPr>
          <w:t>isotc</w:t>
        </w:r>
        <w:proofErr w:type="spellEnd"/>
        <w:r w:rsidRPr="00093044">
          <w:rPr>
            <w:rStyle w:val="a9"/>
            <w:lang w:val="ru-RU"/>
          </w:rPr>
          <w:t>.</w:t>
        </w:r>
        <w:proofErr w:type="spellStart"/>
        <w:r>
          <w:rPr>
            <w:rStyle w:val="a9"/>
          </w:rPr>
          <w:t>iso</w:t>
        </w:r>
        <w:proofErr w:type="spellEnd"/>
        <w:r w:rsidRPr="00093044">
          <w:rPr>
            <w:rStyle w:val="a9"/>
            <w:lang w:val="ru-RU"/>
          </w:rPr>
          <w:t>.</w:t>
        </w:r>
        <w:r>
          <w:rPr>
            <w:rStyle w:val="a9"/>
          </w:rPr>
          <w:t>org</w:t>
        </w:r>
        <w:r w:rsidRPr="00093044">
          <w:rPr>
            <w:rStyle w:val="a9"/>
            <w:lang w:val="ru-RU"/>
          </w:rPr>
          <w:t>/</w:t>
        </w:r>
        <w:proofErr w:type="spellStart"/>
        <w:r>
          <w:rPr>
            <w:rStyle w:val="a9"/>
          </w:rPr>
          <w:t>livelink</w:t>
        </w:r>
        <w:proofErr w:type="spellEnd"/>
        <w:r w:rsidRPr="00093044">
          <w:rPr>
            <w:rStyle w:val="a9"/>
            <w:lang w:val="ru-RU"/>
          </w:rPr>
          <w:t>/</w:t>
        </w:r>
        <w:proofErr w:type="spellStart"/>
        <w:r>
          <w:rPr>
            <w:rStyle w:val="a9"/>
          </w:rPr>
          <w:t>livelink</w:t>
        </w:r>
        <w:proofErr w:type="spellEnd"/>
        <w:r w:rsidRPr="00093044">
          <w:rPr>
            <w:rStyle w:val="a9"/>
            <w:lang w:val="ru-RU"/>
          </w:rPr>
          <w:t>?</w:t>
        </w:r>
        <w:proofErr w:type="spellStart"/>
        <w:r>
          <w:rPr>
            <w:rStyle w:val="a9"/>
          </w:rPr>
          <w:t>func</w:t>
        </w:r>
        <w:proofErr w:type="spellEnd"/>
        <w:r w:rsidRPr="00093044">
          <w:rPr>
            <w:rStyle w:val="a9"/>
            <w:lang w:val="ru-RU"/>
          </w:rPr>
          <w:t>=</w:t>
        </w:r>
        <w:proofErr w:type="spellStart"/>
        <w:r>
          <w:rPr>
            <w:rStyle w:val="a9"/>
          </w:rPr>
          <w:t>ll</w:t>
        </w:r>
        <w:proofErr w:type="spellEnd"/>
        <w:r w:rsidRPr="00093044">
          <w:rPr>
            <w:rStyle w:val="a9"/>
            <w:lang w:val="ru-RU"/>
          </w:rPr>
          <w:t>&amp;</w:t>
        </w:r>
        <w:proofErr w:type="spellStart"/>
        <w:r>
          <w:rPr>
            <w:rStyle w:val="a9"/>
          </w:rPr>
          <w:t>objId</w:t>
        </w:r>
        <w:proofErr w:type="spellEnd"/>
        <w:r w:rsidRPr="00093044">
          <w:rPr>
            <w:rStyle w:val="a9"/>
            <w:lang w:val="ru-RU"/>
          </w:rPr>
          <w:t>=8775273&amp;</w:t>
        </w:r>
        <w:proofErr w:type="spellStart"/>
        <w:r>
          <w:rPr>
            <w:rStyle w:val="a9"/>
          </w:rPr>
          <w:t>objAction</w:t>
        </w:r>
        <w:proofErr w:type="spellEnd"/>
        <w:r w:rsidRPr="00093044">
          <w:rPr>
            <w:rStyle w:val="a9"/>
            <w:lang w:val="ru-RU"/>
          </w:rPr>
          <w:t>=</w:t>
        </w:r>
        <w:r>
          <w:rPr>
            <w:rStyle w:val="a9"/>
          </w:rPr>
          <w:t>browse</w:t>
        </w:r>
        <w:r w:rsidRPr="00093044">
          <w:rPr>
            <w:rStyle w:val="a9"/>
            <w:lang w:val="ru-RU"/>
          </w:rPr>
          <w:t>&amp;</w:t>
        </w:r>
        <w:r>
          <w:rPr>
            <w:rStyle w:val="a9"/>
          </w:rPr>
          <w:t>sort</w:t>
        </w:r>
        <w:r w:rsidRPr="00093044">
          <w:rPr>
            <w:rStyle w:val="a9"/>
            <w:lang w:val="ru-RU"/>
          </w:rPr>
          <w:t>=</w:t>
        </w:r>
        <w:r>
          <w:rPr>
            <w:rStyle w:val="a9"/>
          </w:rPr>
          <w:t>name</w:t>
        </w:r>
      </w:hyperlink>
    </w:p>
  </w:footnote>
  <w:footnote w:id="15">
    <w:p w:rsidR="001A6790" w:rsidRPr="00944FBF" w:rsidRDefault="001A6790" w:rsidP="007D6401">
      <w:pPr>
        <w:pStyle w:val="ab"/>
        <w:rPr>
          <w:lang w:val="ru-RU"/>
        </w:rPr>
      </w:pPr>
      <w:r>
        <w:rPr>
          <w:rStyle w:val="ad"/>
        </w:rPr>
        <w:footnoteRef/>
      </w:r>
      <w:r w:rsidRPr="00944FBF">
        <w:rPr>
          <w:lang w:val="ru-RU"/>
        </w:rPr>
        <w:t xml:space="preserve"> </w:t>
      </w:r>
      <w:hyperlink r:id="rId5" w:history="1">
        <w:r>
          <w:rPr>
            <w:rStyle w:val="a9"/>
          </w:rPr>
          <w:t>http</w:t>
        </w:r>
        <w:r w:rsidRPr="00944FBF">
          <w:rPr>
            <w:rStyle w:val="a9"/>
            <w:lang w:val="ru-RU"/>
          </w:rPr>
          <w:t>://</w:t>
        </w:r>
        <w:r>
          <w:rPr>
            <w:rStyle w:val="a9"/>
          </w:rPr>
          <w:t>www</w:t>
        </w:r>
        <w:r w:rsidRPr="00944FBF">
          <w:rPr>
            <w:rStyle w:val="a9"/>
            <w:lang w:val="ru-RU"/>
          </w:rPr>
          <w:t>.</w:t>
        </w:r>
        <w:proofErr w:type="spellStart"/>
        <w:r>
          <w:rPr>
            <w:rStyle w:val="a9"/>
          </w:rPr>
          <w:t>iso</w:t>
        </w:r>
        <w:proofErr w:type="spellEnd"/>
        <w:r w:rsidRPr="00944FBF">
          <w:rPr>
            <w:rStyle w:val="a9"/>
            <w:lang w:val="ru-RU"/>
          </w:rPr>
          <w:t>.</w:t>
        </w:r>
        <w:r>
          <w:rPr>
            <w:rStyle w:val="a9"/>
          </w:rPr>
          <w:t>org</w:t>
        </w:r>
        <w:r w:rsidRPr="00944FBF">
          <w:rPr>
            <w:rStyle w:val="a9"/>
            <w:lang w:val="ru-RU"/>
          </w:rPr>
          <w:t>/</w:t>
        </w:r>
        <w:proofErr w:type="spellStart"/>
        <w:r>
          <w:rPr>
            <w:rStyle w:val="a9"/>
          </w:rPr>
          <w:t>iso</w:t>
        </w:r>
        <w:proofErr w:type="spellEnd"/>
        <w:r w:rsidRPr="00944FBF">
          <w:rPr>
            <w:rStyle w:val="a9"/>
            <w:lang w:val="ru-RU"/>
          </w:rPr>
          <w:t>/</w:t>
        </w:r>
        <w:proofErr w:type="spellStart"/>
        <w:r>
          <w:rPr>
            <w:rStyle w:val="a9"/>
          </w:rPr>
          <w:t>ru</w:t>
        </w:r>
        <w:proofErr w:type="spellEnd"/>
        <w:r w:rsidRPr="00944FBF">
          <w:rPr>
            <w:rStyle w:val="a9"/>
            <w:lang w:val="ru-RU"/>
          </w:rPr>
          <w:t>/</w:t>
        </w:r>
        <w:proofErr w:type="spellStart"/>
        <w:r>
          <w:rPr>
            <w:rStyle w:val="a9"/>
          </w:rPr>
          <w:t>iso</w:t>
        </w:r>
        <w:proofErr w:type="spellEnd"/>
        <w:r w:rsidRPr="00944FBF">
          <w:rPr>
            <w:rStyle w:val="a9"/>
            <w:lang w:val="ru-RU"/>
          </w:rPr>
          <w:t>_50001_</w:t>
        </w:r>
        <w:r>
          <w:rPr>
            <w:rStyle w:val="a9"/>
          </w:rPr>
          <w:t>energy</w:t>
        </w:r>
        <w:r w:rsidRPr="00944FBF">
          <w:rPr>
            <w:rStyle w:val="a9"/>
            <w:lang w:val="ru-RU"/>
          </w:rPr>
          <w:t>.</w:t>
        </w:r>
        <w:proofErr w:type="spellStart"/>
        <w:r>
          <w:rPr>
            <w:rStyle w:val="a9"/>
          </w:rPr>
          <w:t>pdf</w:t>
        </w:r>
        <w:proofErr w:type="spellEnd"/>
      </w:hyperlink>
      <w:r w:rsidRPr="00944FBF">
        <w:rPr>
          <w:lang w:val="ru-RU"/>
        </w:rPr>
        <w:t xml:space="preserve"> </w:t>
      </w:r>
    </w:p>
  </w:footnote>
  <w:footnote w:id="16">
    <w:p w:rsidR="001A6790" w:rsidRPr="00C27BED" w:rsidRDefault="001A6790" w:rsidP="007D6401">
      <w:pPr>
        <w:pStyle w:val="ab"/>
      </w:pPr>
      <w:r>
        <w:rPr>
          <w:rStyle w:val="ad"/>
        </w:rPr>
        <w:footnoteRef/>
      </w:r>
      <w:r>
        <w:t xml:space="preserve"> </w:t>
      </w:r>
      <w:r w:rsidRPr="00745C89">
        <w:t>KYOTO</w:t>
      </w:r>
      <w:r w:rsidRPr="00C27BED">
        <w:t xml:space="preserve"> </w:t>
      </w:r>
      <w:r w:rsidRPr="00745C89">
        <w:t>AND</w:t>
      </w:r>
      <w:r w:rsidRPr="00C27BED">
        <w:t xml:space="preserve"> </w:t>
      </w:r>
      <w:r w:rsidRPr="00745C89">
        <w:t>THE</w:t>
      </w:r>
      <w:r w:rsidRPr="00C27BED">
        <w:t xml:space="preserve"> </w:t>
      </w:r>
      <w:r w:rsidRPr="00745C89">
        <w:t>CARBON</w:t>
      </w:r>
      <w:r w:rsidRPr="00C27BED">
        <w:t xml:space="preserve"> </w:t>
      </w:r>
      <w:r w:rsidRPr="00745C89">
        <w:t>CONTENT</w:t>
      </w:r>
      <w:r w:rsidRPr="00C27BED">
        <w:t xml:space="preserve"> </w:t>
      </w:r>
      <w:r w:rsidRPr="00745C89">
        <w:t>OF</w:t>
      </w:r>
      <w:r w:rsidRPr="00C27BED">
        <w:t xml:space="preserve"> </w:t>
      </w:r>
      <w:r w:rsidRPr="00745C89">
        <w:t>TRADE</w:t>
      </w:r>
      <w:r w:rsidRPr="00C27BED">
        <w:t xml:space="preserve">, </w:t>
      </w:r>
      <w:proofErr w:type="spellStart"/>
      <w:r w:rsidRPr="00745C89">
        <w:t>Rahel</w:t>
      </w:r>
      <w:proofErr w:type="spellEnd"/>
      <w:r w:rsidRPr="00C27BED">
        <w:t xml:space="preserve"> </w:t>
      </w:r>
      <w:proofErr w:type="spellStart"/>
      <w:r w:rsidRPr="00745C89">
        <w:t>Aichele</w:t>
      </w:r>
      <w:proofErr w:type="spellEnd"/>
      <w:r w:rsidRPr="00C27BED">
        <w:t xml:space="preserve"> </w:t>
      </w:r>
      <w:r w:rsidRPr="00745C89">
        <w:t>and</w:t>
      </w:r>
      <w:r w:rsidRPr="00C27BED">
        <w:t xml:space="preserve"> </w:t>
      </w:r>
      <w:r w:rsidRPr="00745C89">
        <w:t>Gabriel</w:t>
      </w:r>
      <w:r w:rsidRPr="00C27BED">
        <w:t xml:space="preserve"> </w:t>
      </w:r>
      <w:proofErr w:type="spellStart"/>
      <w:r w:rsidRPr="00745C89">
        <w:t>Felbermayr</w:t>
      </w:r>
      <w:proofErr w:type="spellEnd"/>
      <w:r w:rsidRPr="00C27BED">
        <w:t xml:space="preserve">, </w:t>
      </w:r>
      <w:hyperlink r:id="rId6" w:history="1">
        <w:r w:rsidRPr="00745C89">
          <w:rPr>
            <w:rStyle w:val="a9"/>
          </w:rPr>
          <w:t>https</w:t>
        </w:r>
        <w:r w:rsidRPr="00C27BED">
          <w:rPr>
            <w:rStyle w:val="a9"/>
          </w:rPr>
          <w:t>://</w:t>
        </w:r>
        <w:r w:rsidRPr="00745C89">
          <w:rPr>
            <w:rStyle w:val="a9"/>
          </w:rPr>
          <w:t>fzid</w:t>
        </w:r>
        <w:r w:rsidRPr="00C27BED">
          <w:rPr>
            <w:rStyle w:val="a9"/>
          </w:rPr>
          <w:t>.</w:t>
        </w:r>
        <w:r w:rsidRPr="00745C89">
          <w:rPr>
            <w:rStyle w:val="a9"/>
          </w:rPr>
          <w:t>uni</w:t>
        </w:r>
        <w:r w:rsidRPr="00C27BED">
          <w:rPr>
            <w:rStyle w:val="a9"/>
          </w:rPr>
          <w:t>-</w:t>
        </w:r>
        <w:r w:rsidRPr="00745C89">
          <w:rPr>
            <w:rStyle w:val="a9"/>
          </w:rPr>
          <w:t>hohenheim</w:t>
        </w:r>
        <w:r w:rsidRPr="00C27BED">
          <w:rPr>
            <w:rStyle w:val="a9"/>
          </w:rPr>
          <w:t>.</w:t>
        </w:r>
        <w:r w:rsidRPr="00745C89">
          <w:rPr>
            <w:rStyle w:val="a9"/>
          </w:rPr>
          <w:t>de</w:t>
        </w:r>
        <w:r w:rsidRPr="00C27BED">
          <w:rPr>
            <w:rStyle w:val="a9"/>
          </w:rPr>
          <w:t>/71978.</w:t>
        </w:r>
        <w:r w:rsidRPr="00745C89">
          <w:rPr>
            <w:rStyle w:val="a9"/>
          </w:rPr>
          <w:t>html</w:t>
        </w:r>
      </w:hyperlink>
    </w:p>
  </w:footnote>
  <w:footnote w:id="17">
    <w:p w:rsidR="001A6790" w:rsidRPr="00FC667C" w:rsidRDefault="001A6790" w:rsidP="007D6401">
      <w:pPr>
        <w:pStyle w:val="ab"/>
      </w:pPr>
      <w:r>
        <w:rPr>
          <w:rStyle w:val="ad"/>
        </w:rPr>
        <w:footnoteRef/>
      </w:r>
      <w:r>
        <w:t xml:space="preserve"> </w:t>
      </w:r>
      <w:r w:rsidRPr="00FC667C">
        <w:t xml:space="preserve">Ahmad, N. and A. Wyckoff (2003), “Carbon </w:t>
      </w:r>
      <w:proofErr w:type="spellStart"/>
      <w:r w:rsidRPr="00FC667C">
        <w:t>DioxideEmissions</w:t>
      </w:r>
      <w:proofErr w:type="spellEnd"/>
      <w:r w:rsidRPr="00FC667C">
        <w:t xml:space="preserve"> Embodied in International Trade of </w:t>
      </w:r>
      <w:proofErr w:type="spellStart"/>
      <w:r w:rsidRPr="00FC667C">
        <w:t>Goods”,OECD</w:t>
      </w:r>
      <w:proofErr w:type="spellEnd"/>
      <w:r w:rsidRPr="00FC667C">
        <w:t xml:space="preserve"> Science, Technology and Industry Working Papers, 2003/15, OECD Publishing </w:t>
      </w:r>
      <w:hyperlink r:id="rId7" w:history="1">
        <w:r w:rsidRPr="00F27481">
          <w:rPr>
            <w:rStyle w:val="a9"/>
          </w:rPr>
          <w:t>http://dx.doi.org/10.1787/421482436815</w:t>
        </w:r>
      </w:hyperlink>
      <w:r w:rsidRPr="00FC667C">
        <w:t xml:space="preserve"> </w:t>
      </w:r>
    </w:p>
  </w:footnote>
  <w:footnote w:id="18">
    <w:p w:rsidR="001A6790" w:rsidRPr="006C2CF5" w:rsidRDefault="001A6790" w:rsidP="007D6401">
      <w:pPr>
        <w:pStyle w:val="ab"/>
      </w:pPr>
      <w:r>
        <w:rPr>
          <w:rStyle w:val="ad"/>
        </w:rPr>
        <w:footnoteRef/>
      </w:r>
      <w:r w:rsidRPr="006C2CF5">
        <w:rPr>
          <w:lang w:val="ru-RU"/>
        </w:rPr>
        <w:t xml:space="preserve"> </w:t>
      </w:r>
      <w:r w:rsidRPr="00C45F84">
        <w:rPr>
          <w:lang w:val="ru-RU"/>
        </w:rPr>
        <w:t xml:space="preserve">Д.И. Менделеев «Толковый тариф, или Исследование о развитии промышленности России в связи с ее общим таможенным тарифом 1891 года». </w:t>
      </w:r>
      <w:proofErr w:type="spellStart"/>
      <w:proofErr w:type="gramStart"/>
      <w:r w:rsidRPr="006C2CF5">
        <w:t>Москва</w:t>
      </w:r>
      <w:proofErr w:type="spellEnd"/>
      <w:r w:rsidRPr="006C2CF5">
        <w:t xml:space="preserve">, </w:t>
      </w:r>
      <w:proofErr w:type="spellStart"/>
      <w:r w:rsidRPr="006C2CF5">
        <w:t>Изд-во</w:t>
      </w:r>
      <w:proofErr w:type="spellEnd"/>
      <w:r w:rsidRPr="006C2CF5">
        <w:t xml:space="preserve"> «</w:t>
      </w:r>
      <w:proofErr w:type="spellStart"/>
      <w:r w:rsidRPr="006C2CF5">
        <w:t>Европа</w:t>
      </w:r>
      <w:proofErr w:type="spellEnd"/>
      <w:r w:rsidRPr="006C2CF5">
        <w:t xml:space="preserve">», 2005, </w:t>
      </w:r>
      <w:proofErr w:type="spellStart"/>
      <w:r w:rsidRPr="006C2CF5">
        <w:t>стр</w:t>
      </w:r>
      <w:proofErr w:type="spellEnd"/>
      <w:r w:rsidRPr="006C2CF5">
        <w:t>.</w:t>
      </w:r>
      <w:proofErr w:type="gramEnd"/>
      <w:r w:rsidRPr="006C2CF5">
        <w:t xml:space="preserve"> 324</w:t>
      </w:r>
    </w:p>
  </w:footnote>
  <w:footnote w:id="19">
    <w:p w:rsidR="001A6790" w:rsidRDefault="001A6790" w:rsidP="007D6401">
      <w:pPr>
        <w:pStyle w:val="ab"/>
      </w:pPr>
      <w:r>
        <w:rPr>
          <w:rStyle w:val="ad"/>
        </w:rPr>
        <w:footnoteRef/>
      </w:r>
      <w:r>
        <w:t xml:space="preserve"> </w:t>
      </w:r>
      <w:r w:rsidRPr="00057CA3">
        <w:rPr>
          <w:rFonts w:ascii="Verdana" w:hAnsi="Verdana"/>
          <w:sz w:val="16"/>
          <w:szCs w:val="25"/>
        </w:rPr>
        <w:t>European Court’s Preliminary Opinion Supports Legality of EU Law That Curbs Aviation Pollution</w:t>
      </w:r>
      <w:r>
        <w:rPr>
          <w:rFonts w:ascii="Verdana" w:hAnsi="Verdana"/>
          <w:sz w:val="16"/>
          <w:szCs w:val="25"/>
        </w:rPr>
        <w:t xml:space="preserve">, </w:t>
      </w:r>
      <w:hyperlink r:id="rId8" w:history="1">
        <w:r w:rsidRPr="008B6CB3">
          <w:rPr>
            <w:rStyle w:val="a9"/>
            <w:rFonts w:ascii="Verdana" w:hAnsi="Verdana"/>
            <w:sz w:val="16"/>
            <w:szCs w:val="25"/>
          </w:rPr>
          <w:t>http://www.transportenvironment.org/News/2011/10/European-Courts-Preliminary-Opinion-Supports-Legality-of-EU-Law-That-Curbs-Aviation-Pollution/</w:t>
        </w:r>
      </w:hyperlink>
      <w:r>
        <w:rPr>
          <w:rFonts w:ascii="Verdana" w:hAnsi="Verdana"/>
          <w:sz w:val="16"/>
          <w:szCs w:val="25"/>
        </w:rPr>
        <w:t xml:space="preserve"> </w:t>
      </w:r>
    </w:p>
  </w:footnote>
  <w:footnote w:id="20">
    <w:p w:rsidR="001A6790" w:rsidRPr="000A5D69" w:rsidRDefault="001A6790" w:rsidP="007D6401">
      <w:pPr>
        <w:pStyle w:val="af0"/>
        <w:shd w:val="clear" w:color="auto" w:fill="FFFFFF"/>
        <w:spacing w:before="0" w:beforeAutospacing="0" w:after="384" w:afterAutospacing="0" w:line="285" w:lineRule="atLeast"/>
        <w:jc w:val="both"/>
        <w:textAlignment w:val="baseline"/>
        <w:rPr>
          <w:rFonts w:ascii="Verdana" w:hAnsi="Verdana"/>
          <w:sz w:val="16"/>
          <w:szCs w:val="16"/>
          <w:lang w:val="en-US"/>
        </w:rPr>
      </w:pPr>
      <w:r>
        <w:rPr>
          <w:rStyle w:val="ad"/>
        </w:rPr>
        <w:footnoteRef/>
      </w:r>
      <w:r w:rsidRPr="000A5D69">
        <w:rPr>
          <w:lang w:val="en-US"/>
        </w:rPr>
        <w:t xml:space="preserve"> </w:t>
      </w:r>
      <w:hyperlink r:id="rId9" w:history="1">
        <w:r w:rsidRPr="000A5D69">
          <w:rPr>
            <w:rStyle w:val="a9"/>
            <w:rFonts w:ascii="Verdana" w:hAnsi="Verdana"/>
            <w:sz w:val="16"/>
            <w:szCs w:val="16"/>
            <w:lang w:val="en-US"/>
          </w:rPr>
          <w:t>http://ictsd.org/i/news/bridgesweekly/117954/</w:t>
        </w:r>
      </w:hyperlink>
    </w:p>
    <w:p w:rsidR="001A6790" w:rsidRPr="000A5D69" w:rsidRDefault="001A6790" w:rsidP="007D6401">
      <w:pPr>
        <w:pStyle w:val="ab"/>
      </w:pPr>
    </w:p>
  </w:footnote>
  <w:footnote w:id="21">
    <w:p w:rsidR="001A6790" w:rsidRDefault="001A6790" w:rsidP="007D6401">
      <w:pPr>
        <w:pStyle w:val="ab"/>
      </w:pPr>
      <w:r>
        <w:rPr>
          <w:rStyle w:val="ad"/>
        </w:rPr>
        <w:footnoteRef/>
      </w:r>
      <w:r w:rsidRPr="00F4233E">
        <w:rPr>
          <w:sz w:val="16"/>
        </w:rPr>
        <w:t xml:space="preserve"> </w:t>
      </w:r>
      <w:r w:rsidRPr="00057CA3">
        <w:rPr>
          <w:szCs w:val="24"/>
        </w:rPr>
        <w:t xml:space="preserve">Brussels, 08.04.2011 </w:t>
      </w:r>
      <w:proofErr w:type="gramStart"/>
      <w:r w:rsidRPr="00057CA3">
        <w:rPr>
          <w:szCs w:val="24"/>
        </w:rPr>
        <w:t>SEC(</w:t>
      </w:r>
      <w:proofErr w:type="gramEnd"/>
      <w:r w:rsidRPr="00057CA3">
        <w:rPr>
          <w:szCs w:val="24"/>
        </w:rPr>
        <w:t>2011) 487 final.</w:t>
      </w:r>
    </w:p>
  </w:footnote>
  <w:footnote w:id="22">
    <w:p w:rsidR="001A6790" w:rsidRDefault="001A6790" w:rsidP="007D6401">
      <w:pPr>
        <w:pStyle w:val="ab"/>
      </w:pPr>
      <w:r>
        <w:rPr>
          <w:rStyle w:val="ad"/>
        </w:rPr>
        <w:footnoteRef/>
      </w:r>
      <w:r w:rsidRPr="00E75E7F">
        <w:rPr>
          <w:sz w:val="16"/>
        </w:rPr>
        <w:t xml:space="preserve"> </w:t>
      </w:r>
      <w:r w:rsidRPr="00E75E7F">
        <w:rPr>
          <w:szCs w:val="24"/>
        </w:rPr>
        <w:t xml:space="preserve">Oxfam / WWF Briefing Note, 8 September 2011, </w:t>
      </w:r>
      <w:proofErr w:type="gramStart"/>
      <w:r w:rsidRPr="00E75E7F">
        <w:rPr>
          <w:szCs w:val="24"/>
        </w:rPr>
        <w:t>Out</w:t>
      </w:r>
      <w:proofErr w:type="gramEnd"/>
      <w:r w:rsidRPr="00E75E7F">
        <w:rPr>
          <w:szCs w:val="24"/>
        </w:rPr>
        <w:t xml:space="preserve"> of the bunker: TIME FOR A FAIR DEAL ON SHIPPING EMISSIONS, © Oxfam International and WWF September 2011.</w:t>
      </w:r>
    </w:p>
  </w:footnote>
  <w:footnote w:id="23">
    <w:p w:rsidR="001A6790" w:rsidRDefault="001A6790" w:rsidP="007D6401">
      <w:pPr>
        <w:pStyle w:val="ab"/>
      </w:pPr>
      <w:r>
        <w:rPr>
          <w:rStyle w:val="ad"/>
        </w:rPr>
        <w:footnoteRef/>
      </w:r>
      <w:r w:rsidRPr="00E75E7F">
        <w:rPr>
          <w:sz w:val="16"/>
        </w:rPr>
        <w:t xml:space="preserve"> </w:t>
      </w:r>
      <w:r w:rsidRPr="00E75E7F">
        <w:rPr>
          <w:szCs w:val="24"/>
        </w:rPr>
        <w:t xml:space="preserve">Jasper Faber, </w:t>
      </w:r>
      <w:proofErr w:type="spellStart"/>
      <w:r w:rsidRPr="00E75E7F">
        <w:rPr>
          <w:szCs w:val="24"/>
        </w:rPr>
        <w:t>Agnieszka</w:t>
      </w:r>
      <w:proofErr w:type="spellEnd"/>
      <w:r w:rsidRPr="00E75E7F">
        <w:rPr>
          <w:szCs w:val="24"/>
        </w:rPr>
        <w:t xml:space="preserve"> </w:t>
      </w:r>
      <w:proofErr w:type="spellStart"/>
      <w:r w:rsidRPr="00E75E7F">
        <w:rPr>
          <w:szCs w:val="24"/>
        </w:rPr>
        <w:t>Markowska</w:t>
      </w:r>
      <w:proofErr w:type="spellEnd"/>
      <w:r w:rsidRPr="00E75E7F">
        <w:rPr>
          <w:szCs w:val="24"/>
        </w:rPr>
        <w:t xml:space="preserve">, </w:t>
      </w:r>
      <w:proofErr w:type="spellStart"/>
      <w:r w:rsidRPr="00E75E7F">
        <w:rPr>
          <w:szCs w:val="24"/>
        </w:rPr>
        <w:t>Veronika</w:t>
      </w:r>
      <w:proofErr w:type="spellEnd"/>
      <w:r w:rsidRPr="00E75E7F">
        <w:rPr>
          <w:szCs w:val="24"/>
        </w:rPr>
        <w:t xml:space="preserve"> </w:t>
      </w:r>
      <w:proofErr w:type="spellStart"/>
      <w:r w:rsidRPr="00E75E7F">
        <w:rPr>
          <w:szCs w:val="24"/>
        </w:rPr>
        <w:t>Eyring</w:t>
      </w:r>
      <w:proofErr w:type="spellEnd"/>
      <w:r w:rsidRPr="00E75E7F">
        <w:rPr>
          <w:szCs w:val="24"/>
        </w:rPr>
        <w:t xml:space="preserve">, Irene </w:t>
      </w:r>
      <w:proofErr w:type="spellStart"/>
      <w:r w:rsidRPr="00E75E7F">
        <w:rPr>
          <w:szCs w:val="24"/>
        </w:rPr>
        <w:t>Cionni</w:t>
      </w:r>
      <w:proofErr w:type="spellEnd"/>
      <w:r w:rsidRPr="00E75E7F">
        <w:rPr>
          <w:szCs w:val="24"/>
        </w:rPr>
        <w:t xml:space="preserve">, </w:t>
      </w:r>
      <w:proofErr w:type="spellStart"/>
      <w:r w:rsidRPr="00E75E7F">
        <w:rPr>
          <w:szCs w:val="24"/>
        </w:rPr>
        <w:t>Espen</w:t>
      </w:r>
      <w:proofErr w:type="spellEnd"/>
      <w:r w:rsidRPr="00E75E7F">
        <w:rPr>
          <w:szCs w:val="24"/>
        </w:rPr>
        <w:t xml:space="preserve"> </w:t>
      </w:r>
      <w:proofErr w:type="spellStart"/>
      <w:r w:rsidRPr="00E75E7F">
        <w:rPr>
          <w:szCs w:val="24"/>
        </w:rPr>
        <w:t>Selstad</w:t>
      </w:r>
      <w:proofErr w:type="spellEnd"/>
      <w:r w:rsidRPr="00E75E7F">
        <w:rPr>
          <w:szCs w:val="24"/>
        </w:rPr>
        <w:t xml:space="preserve">, A Global Maritime Emissions Trading System: Design and Impacts on the Shipping Sector, Countries and Regions, Delft, CE Delft, January 2010, Publication number: 10.7829.05, CE-publications are available from </w:t>
      </w:r>
      <w:hyperlink r:id="rId10" w:history="1">
        <w:r w:rsidRPr="00E75E7F">
          <w:rPr>
            <w:rStyle w:val="a9"/>
            <w:szCs w:val="24"/>
          </w:rPr>
          <w:t>www.ce.nl</w:t>
        </w:r>
      </w:hyperlink>
      <w:r w:rsidRPr="00E75E7F">
        <w:rPr>
          <w:szCs w:val="24"/>
        </w:rPr>
        <w:t xml:space="preserve">,© copyright, </w:t>
      </w:r>
      <w:proofErr w:type="spellStart"/>
      <w:r w:rsidRPr="00E75E7F">
        <w:rPr>
          <w:szCs w:val="24"/>
        </w:rPr>
        <w:t>Bundesministerium</w:t>
      </w:r>
      <w:proofErr w:type="spellEnd"/>
      <w:r w:rsidRPr="00E75E7F">
        <w:rPr>
          <w:szCs w:val="24"/>
        </w:rPr>
        <w:t xml:space="preserve"> </w:t>
      </w:r>
      <w:proofErr w:type="spellStart"/>
      <w:r w:rsidRPr="00E75E7F">
        <w:rPr>
          <w:szCs w:val="24"/>
        </w:rPr>
        <w:t>für</w:t>
      </w:r>
      <w:proofErr w:type="spellEnd"/>
      <w:r w:rsidRPr="00E75E7F">
        <w:rPr>
          <w:szCs w:val="24"/>
        </w:rPr>
        <w:t xml:space="preserve"> </w:t>
      </w:r>
      <w:proofErr w:type="spellStart"/>
      <w:r w:rsidRPr="00E75E7F">
        <w:rPr>
          <w:szCs w:val="24"/>
        </w:rPr>
        <w:t>Umwelt</w:t>
      </w:r>
      <w:proofErr w:type="spellEnd"/>
      <w:r w:rsidRPr="00E75E7F">
        <w:rPr>
          <w:szCs w:val="24"/>
        </w:rPr>
        <w:t xml:space="preserve">, </w:t>
      </w:r>
      <w:proofErr w:type="spellStart"/>
      <w:r w:rsidRPr="00E75E7F">
        <w:rPr>
          <w:szCs w:val="24"/>
        </w:rPr>
        <w:t>Naturschutz</w:t>
      </w:r>
      <w:proofErr w:type="spellEnd"/>
      <w:r w:rsidRPr="00E75E7F">
        <w:rPr>
          <w:szCs w:val="24"/>
        </w:rPr>
        <w:t xml:space="preserve"> und </w:t>
      </w:r>
      <w:proofErr w:type="spellStart"/>
      <w:r w:rsidRPr="00E75E7F">
        <w:rPr>
          <w:szCs w:val="24"/>
        </w:rPr>
        <w:t>Reaktorsicherheit</w:t>
      </w:r>
      <w:proofErr w:type="spellEnd"/>
    </w:p>
  </w:footnote>
  <w:footnote w:id="24">
    <w:p w:rsidR="001A6790" w:rsidRPr="00F44104" w:rsidRDefault="001A6790" w:rsidP="007D6401">
      <w:pPr>
        <w:pStyle w:val="ListParagraph1"/>
        <w:tabs>
          <w:tab w:val="left" w:pos="851"/>
        </w:tabs>
        <w:spacing w:after="0" w:line="240" w:lineRule="auto"/>
        <w:ind w:left="0"/>
        <w:jc w:val="both"/>
        <w:rPr>
          <w:sz w:val="20"/>
          <w:szCs w:val="20"/>
        </w:rPr>
      </w:pPr>
      <w:r w:rsidRPr="00BB2086">
        <w:rPr>
          <w:rStyle w:val="ad"/>
          <w:sz w:val="20"/>
          <w:szCs w:val="20"/>
        </w:rPr>
        <w:footnoteRef/>
      </w:r>
      <w:r w:rsidRPr="00F44104">
        <w:rPr>
          <w:sz w:val="20"/>
          <w:szCs w:val="20"/>
        </w:rPr>
        <w:t xml:space="preserve"> </w:t>
      </w:r>
      <w:proofErr w:type="gramStart"/>
      <w:r w:rsidRPr="00F44104">
        <w:rPr>
          <w:sz w:val="20"/>
          <w:szCs w:val="20"/>
        </w:rPr>
        <w:t>Commission Decision of 24 December 2009 determining, pursuant to Directive 2003/87/EC of the European Parliament and of the Council, a list of sectors and subsectors which are deemed to be exposed to a significant risk of carbon leakage.</w:t>
      </w:r>
      <w:proofErr w:type="gramEnd"/>
    </w:p>
    <w:p w:rsidR="001A6790" w:rsidRDefault="001A6790" w:rsidP="007D6401">
      <w:pPr>
        <w:pStyle w:val="ListParagraph1"/>
        <w:tabs>
          <w:tab w:val="left" w:pos="851"/>
        </w:tabs>
        <w:spacing w:after="0" w:line="240" w:lineRule="auto"/>
        <w:ind w:left="0"/>
        <w:jc w:val="both"/>
      </w:pPr>
      <w:proofErr w:type="gramStart"/>
      <w:r w:rsidRPr="00F44104">
        <w:rPr>
          <w:sz w:val="20"/>
          <w:szCs w:val="20"/>
        </w:rPr>
        <w:t>Issues behind Competitiveness and Carbon Leakage.</w:t>
      </w:r>
      <w:proofErr w:type="gramEnd"/>
      <w:r w:rsidRPr="00F44104">
        <w:rPr>
          <w:sz w:val="20"/>
          <w:szCs w:val="20"/>
        </w:rPr>
        <w:t xml:space="preserve"> Focus on Heavy Industry. </w:t>
      </w:r>
      <w:proofErr w:type="spellStart"/>
      <w:proofErr w:type="gramStart"/>
      <w:r w:rsidRPr="00F44104">
        <w:rPr>
          <w:sz w:val="20"/>
          <w:szCs w:val="20"/>
        </w:rPr>
        <w:t>IEA</w:t>
      </w:r>
      <w:proofErr w:type="spellEnd"/>
      <w:r w:rsidRPr="00F44104">
        <w:rPr>
          <w:sz w:val="20"/>
          <w:szCs w:val="20"/>
        </w:rPr>
        <w:t xml:space="preserve"> Information paper.</w:t>
      </w:r>
      <w:proofErr w:type="gramEnd"/>
      <w:r w:rsidRPr="00F44104">
        <w:rPr>
          <w:sz w:val="20"/>
          <w:szCs w:val="20"/>
        </w:rPr>
        <w:t xml:space="preserve"> </w:t>
      </w:r>
      <w:proofErr w:type="gramStart"/>
      <w:r w:rsidRPr="00F44104">
        <w:rPr>
          <w:sz w:val="20"/>
          <w:szCs w:val="20"/>
        </w:rPr>
        <w:t xml:space="preserve">/ International Energy Agency, 2008 </w:t>
      </w:r>
      <w:r w:rsidRPr="00BB2086">
        <w:rPr>
          <w:sz w:val="20"/>
          <w:szCs w:val="20"/>
        </w:rPr>
        <w:t>–</w:t>
      </w:r>
      <w:r w:rsidRPr="00F44104">
        <w:rPr>
          <w:sz w:val="20"/>
          <w:szCs w:val="20"/>
        </w:rPr>
        <w:t xml:space="preserve"> 122 p.</w:t>
      </w:r>
      <w:proofErr w:type="gramEnd"/>
    </w:p>
  </w:footnote>
  <w:footnote w:id="25">
    <w:p w:rsidR="001A6790" w:rsidRDefault="001A6790" w:rsidP="007D6401">
      <w:pPr>
        <w:pStyle w:val="ab"/>
      </w:pPr>
      <w:r>
        <w:rPr>
          <w:rStyle w:val="ad"/>
        </w:rPr>
        <w:footnoteRef/>
      </w:r>
      <w:r w:rsidRPr="00F4233E">
        <w:rPr>
          <w:sz w:val="16"/>
        </w:rPr>
        <w:t xml:space="preserve"> </w:t>
      </w:r>
      <w:proofErr w:type="spellStart"/>
      <w:r w:rsidRPr="00F4233E">
        <w:rPr>
          <w:lang w:val="ru-RU"/>
        </w:rPr>
        <w:t>Айхингер</w:t>
      </w:r>
      <w:proofErr w:type="spellEnd"/>
      <w:r w:rsidRPr="00F4233E">
        <w:t xml:space="preserve"> </w:t>
      </w:r>
      <w:r w:rsidRPr="00F4233E">
        <w:rPr>
          <w:lang w:val="ru-RU"/>
        </w:rPr>
        <w:t>Х</w:t>
      </w:r>
      <w:r w:rsidRPr="00F4233E">
        <w:t>.</w:t>
      </w:r>
      <w:r w:rsidRPr="00F4233E">
        <w:rPr>
          <w:lang w:val="ru-RU"/>
        </w:rPr>
        <w:t>М</w:t>
      </w:r>
      <w:r w:rsidRPr="00F4233E">
        <w:t xml:space="preserve">., </w:t>
      </w:r>
      <w:proofErr w:type="spellStart"/>
      <w:r w:rsidRPr="00F4233E">
        <w:rPr>
          <w:lang w:val="ru-RU"/>
        </w:rPr>
        <w:t>Амелинг</w:t>
      </w:r>
      <w:proofErr w:type="spellEnd"/>
      <w:r w:rsidRPr="00F4233E">
        <w:t xml:space="preserve"> </w:t>
      </w:r>
      <w:r w:rsidRPr="00F4233E">
        <w:rPr>
          <w:lang w:val="ru-RU"/>
        </w:rPr>
        <w:t>Д</w:t>
      </w:r>
      <w:r w:rsidRPr="00F4233E">
        <w:t xml:space="preserve">., </w:t>
      </w:r>
      <w:proofErr w:type="spellStart"/>
      <w:r w:rsidRPr="00F4233E">
        <w:rPr>
          <w:lang w:val="ru-RU"/>
        </w:rPr>
        <w:t>Анро</w:t>
      </w:r>
      <w:proofErr w:type="spellEnd"/>
      <w:r w:rsidRPr="00F4233E">
        <w:t xml:space="preserve"> </w:t>
      </w:r>
      <w:r w:rsidRPr="00F4233E">
        <w:rPr>
          <w:lang w:val="ru-RU"/>
        </w:rPr>
        <w:t>Ф</w:t>
      </w:r>
      <w:r w:rsidRPr="00F4233E">
        <w:t xml:space="preserve">., </w:t>
      </w:r>
      <w:proofErr w:type="spellStart"/>
      <w:r w:rsidRPr="00F4233E">
        <w:rPr>
          <w:lang w:val="ru-RU"/>
        </w:rPr>
        <w:t>Бада</w:t>
      </w:r>
      <w:proofErr w:type="spellEnd"/>
      <w:r w:rsidRPr="00F4233E">
        <w:t xml:space="preserve">  </w:t>
      </w:r>
      <w:r w:rsidRPr="00F4233E">
        <w:rPr>
          <w:lang w:val="ru-RU"/>
        </w:rPr>
        <w:t>Х</w:t>
      </w:r>
      <w:r w:rsidRPr="00F4233E">
        <w:t xml:space="preserve">., </w:t>
      </w:r>
      <w:proofErr w:type="spellStart"/>
      <w:r w:rsidRPr="00F4233E">
        <w:rPr>
          <w:lang w:val="ru-RU"/>
        </w:rPr>
        <w:t>Бира</w:t>
      </w:r>
      <w:proofErr w:type="spellEnd"/>
      <w:r w:rsidRPr="00F4233E">
        <w:t xml:space="preserve"> </w:t>
      </w:r>
      <w:r w:rsidRPr="00F4233E">
        <w:rPr>
          <w:lang w:val="ru-RU"/>
        </w:rPr>
        <w:t>Ж</w:t>
      </w:r>
      <w:r w:rsidRPr="00F4233E">
        <w:t>.-</w:t>
      </w:r>
      <w:proofErr w:type="spellStart"/>
      <w:r w:rsidRPr="00F4233E">
        <w:rPr>
          <w:lang w:val="ru-RU"/>
        </w:rPr>
        <w:t>П</w:t>
      </w:r>
      <w:proofErr w:type="spellEnd"/>
      <w:r w:rsidRPr="00F4233E">
        <w:t xml:space="preserve">., </w:t>
      </w:r>
      <w:proofErr w:type="spellStart"/>
      <w:r w:rsidRPr="00F4233E">
        <w:rPr>
          <w:lang w:val="ru-RU"/>
        </w:rPr>
        <w:t>Данлуа</w:t>
      </w:r>
      <w:proofErr w:type="spellEnd"/>
      <w:r w:rsidRPr="00F4233E">
        <w:t xml:space="preserve"> </w:t>
      </w:r>
      <w:r w:rsidRPr="00F4233E">
        <w:rPr>
          <w:lang w:val="ru-RU"/>
        </w:rPr>
        <w:t>Ж</w:t>
      </w:r>
      <w:r w:rsidRPr="00F4233E">
        <w:t xml:space="preserve">., </w:t>
      </w:r>
      <w:proofErr w:type="spellStart"/>
      <w:r w:rsidRPr="00F4233E">
        <w:rPr>
          <w:lang w:val="ru-RU"/>
        </w:rPr>
        <w:t>Кесселер</w:t>
      </w:r>
      <w:proofErr w:type="spellEnd"/>
      <w:r w:rsidRPr="00F4233E">
        <w:t xml:space="preserve"> </w:t>
      </w:r>
      <w:r w:rsidRPr="00F4233E">
        <w:rPr>
          <w:lang w:val="ru-RU"/>
        </w:rPr>
        <w:t>К</w:t>
      </w:r>
      <w:r w:rsidRPr="00F4233E">
        <w:t xml:space="preserve">., </w:t>
      </w:r>
      <w:r w:rsidRPr="00F4233E">
        <w:rPr>
          <w:lang w:val="ru-RU"/>
        </w:rPr>
        <w:t>Линденберг</w:t>
      </w:r>
      <w:r w:rsidRPr="00F4233E">
        <w:t xml:space="preserve"> </w:t>
      </w:r>
      <w:r w:rsidRPr="00F4233E">
        <w:rPr>
          <w:lang w:val="ru-RU"/>
        </w:rPr>
        <w:t>Х</w:t>
      </w:r>
      <w:r w:rsidRPr="00F4233E">
        <w:t>.</w:t>
      </w:r>
      <w:r w:rsidRPr="00F4233E">
        <w:rPr>
          <w:lang w:val="ru-RU"/>
        </w:rPr>
        <w:t>У</w:t>
      </w:r>
      <w:r w:rsidRPr="00F4233E">
        <w:t xml:space="preserve">., </w:t>
      </w:r>
      <w:proofErr w:type="spellStart"/>
      <w:r w:rsidRPr="00F4233E">
        <w:rPr>
          <w:lang w:val="ru-RU"/>
        </w:rPr>
        <w:t>Люнген</w:t>
      </w:r>
      <w:proofErr w:type="spellEnd"/>
      <w:r w:rsidRPr="00F4233E">
        <w:t xml:space="preserve"> </w:t>
      </w:r>
      <w:r w:rsidRPr="00F4233E">
        <w:rPr>
          <w:lang w:val="ru-RU"/>
        </w:rPr>
        <w:t>Х</w:t>
      </w:r>
      <w:r w:rsidRPr="00F4233E">
        <w:t>.</w:t>
      </w:r>
      <w:r w:rsidRPr="00F4233E">
        <w:rPr>
          <w:lang w:val="ru-RU"/>
        </w:rPr>
        <w:t>Б</w:t>
      </w:r>
      <w:r w:rsidRPr="00F4233E">
        <w:t xml:space="preserve">., </w:t>
      </w:r>
      <w:proofErr w:type="spellStart"/>
      <w:r w:rsidRPr="00F4233E">
        <w:rPr>
          <w:lang w:val="ru-RU"/>
        </w:rPr>
        <w:t>Мюльхаймс</w:t>
      </w:r>
      <w:proofErr w:type="spellEnd"/>
      <w:r w:rsidRPr="00F4233E">
        <w:t xml:space="preserve"> </w:t>
      </w:r>
      <w:r w:rsidRPr="00F4233E">
        <w:rPr>
          <w:lang w:val="ru-RU"/>
        </w:rPr>
        <w:t>К</w:t>
      </w:r>
      <w:r w:rsidRPr="00F4233E">
        <w:t xml:space="preserve">., </w:t>
      </w:r>
      <w:proofErr w:type="spellStart"/>
      <w:r w:rsidRPr="00F4233E">
        <w:rPr>
          <w:lang w:val="ru-RU"/>
        </w:rPr>
        <w:t>Ширло</w:t>
      </w:r>
      <w:proofErr w:type="spellEnd"/>
      <w:r w:rsidRPr="00F4233E">
        <w:t xml:space="preserve"> </w:t>
      </w:r>
      <w:r w:rsidRPr="00F4233E">
        <w:rPr>
          <w:lang w:val="ru-RU"/>
        </w:rPr>
        <w:t>У</w:t>
      </w:r>
      <w:r w:rsidRPr="00F4233E">
        <w:t xml:space="preserve">., </w:t>
      </w:r>
      <w:proofErr w:type="spellStart"/>
      <w:r w:rsidRPr="00F4233E">
        <w:rPr>
          <w:lang w:val="ru-RU"/>
        </w:rPr>
        <w:t>Штрикер</w:t>
      </w:r>
      <w:proofErr w:type="spellEnd"/>
      <w:r w:rsidRPr="00F4233E">
        <w:t> </w:t>
      </w:r>
      <w:r w:rsidRPr="00F4233E">
        <w:rPr>
          <w:lang w:val="ru-RU"/>
        </w:rPr>
        <w:t>К</w:t>
      </w:r>
      <w:r w:rsidRPr="00F4233E">
        <w:t>.</w:t>
      </w:r>
      <w:proofErr w:type="spellStart"/>
      <w:r w:rsidRPr="00F4233E">
        <w:rPr>
          <w:lang w:val="ru-RU"/>
        </w:rPr>
        <w:t>П</w:t>
      </w:r>
      <w:proofErr w:type="spellEnd"/>
      <w:r w:rsidRPr="00F4233E">
        <w:t xml:space="preserve">., </w:t>
      </w:r>
      <w:proofErr w:type="spellStart"/>
      <w:r w:rsidRPr="00F4233E">
        <w:rPr>
          <w:lang w:val="ru-RU"/>
        </w:rPr>
        <w:t>Эндеман</w:t>
      </w:r>
      <w:proofErr w:type="spellEnd"/>
      <w:r w:rsidRPr="00F4233E">
        <w:t xml:space="preserve"> </w:t>
      </w:r>
      <w:r w:rsidRPr="00F4233E">
        <w:rPr>
          <w:lang w:val="ru-RU"/>
        </w:rPr>
        <w:t>Г</w:t>
      </w:r>
      <w:r w:rsidRPr="00F4233E">
        <w:t>.</w:t>
      </w:r>
    </w:p>
  </w:footnote>
  <w:footnote w:id="26">
    <w:p w:rsidR="001A6790" w:rsidRDefault="001A6790" w:rsidP="007D6401">
      <w:pPr>
        <w:pStyle w:val="ab"/>
        <w:spacing w:line="240" w:lineRule="auto"/>
      </w:pPr>
      <w:r w:rsidRPr="00BB2086">
        <w:rPr>
          <w:rStyle w:val="ad"/>
        </w:rPr>
        <w:footnoteRef/>
      </w:r>
      <w:r w:rsidRPr="00F44104">
        <w:t xml:space="preserve"> </w:t>
      </w:r>
      <w:r w:rsidRPr="00F44104">
        <w:rPr>
          <w:szCs w:val="28"/>
        </w:rPr>
        <w:t>Steel</w:t>
      </w:r>
      <w:r w:rsidRPr="00BB2086">
        <w:rPr>
          <w:szCs w:val="28"/>
        </w:rPr>
        <w:t>’</w:t>
      </w:r>
      <w:r w:rsidRPr="00F44104">
        <w:rPr>
          <w:szCs w:val="28"/>
        </w:rPr>
        <w:t xml:space="preserve">s contribution to a low carbon future. </w:t>
      </w:r>
      <w:proofErr w:type="spellStart"/>
      <w:r w:rsidRPr="00F44104">
        <w:rPr>
          <w:szCs w:val="28"/>
        </w:rPr>
        <w:t>Worldsteel</w:t>
      </w:r>
      <w:proofErr w:type="spellEnd"/>
      <w:r w:rsidRPr="00F44104">
        <w:rPr>
          <w:szCs w:val="28"/>
        </w:rPr>
        <w:t xml:space="preserve"> climate change position paper / World Steel Association, 2010. </w:t>
      </w:r>
      <w:r w:rsidRPr="00BB2086">
        <w:rPr>
          <w:szCs w:val="28"/>
        </w:rPr>
        <w:t>–</w:t>
      </w:r>
      <w:r w:rsidRPr="00F44104">
        <w:rPr>
          <w:szCs w:val="28"/>
        </w:rPr>
        <w:t xml:space="preserve"> 6 p.</w:t>
      </w:r>
    </w:p>
  </w:footnote>
  <w:footnote w:id="27">
    <w:p w:rsidR="001A6790" w:rsidRPr="007E654D" w:rsidRDefault="001A6790" w:rsidP="007D6401">
      <w:pPr>
        <w:pStyle w:val="ab"/>
        <w:spacing w:line="240" w:lineRule="auto"/>
        <w:rPr>
          <w:lang w:val="ru-RU"/>
        </w:rPr>
      </w:pPr>
      <w:r w:rsidRPr="00BB2086">
        <w:rPr>
          <w:rStyle w:val="ad"/>
        </w:rPr>
        <w:footnoteRef/>
      </w:r>
      <w:r w:rsidRPr="00F44104">
        <w:rPr>
          <w:lang w:val="ru-RU"/>
        </w:rPr>
        <w:t xml:space="preserve"> </w:t>
      </w:r>
      <w:r w:rsidRPr="00F44104">
        <w:rPr>
          <w:szCs w:val="28"/>
          <w:lang w:val="ru-RU"/>
        </w:rPr>
        <w:t xml:space="preserve">Стратегия развития металлургической промышленности Российской Федерации на период до 2020 г., утверждена приказом </w:t>
      </w:r>
      <w:proofErr w:type="spellStart"/>
      <w:r w:rsidRPr="00F44104">
        <w:rPr>
          <w:szCs w:val="28"/>
          <w:lang w:val="ru-RU"/>
        </w:rPr>
        <w:t>Минпромторга</w:t>
      </w:r>
      <w:proofErr w:type="spellEnd"/>
      <w:r w:rsidRPr="00F44104">
        <w:rPr>
          <w:szCs w:val="28"/>
          <w:lang w:val="ru-RU"/>
        </w:rPr>
        <w:t xml:space="preserve"> России от 18 марта 2009 г. № 150</w:t>
      </w:r>
    </w:p>
  </w:footnote>
  <w:footnote w:id="28">
    <w:p w:rsidR="001A6790" w:rsidRPr="007E654D" w:rsidRDefault="001A6790" w:rsidP="007D6401">
      <w:pPr>
        <w:pStyle w:val="ab"/>
        <w:spacing w:line="240" w:lineRule="auto"/>
        <w:rPr>
          <w:lang w:val="ru-RU"/>
        </w:rPr>
      </w:pPr>
      <w:r w:rsidRPr="00BB2086">
        <w:rPr>
          <w:rStyle w:val="ad"/>
        </w:rPr>
        <w:footnoteRef/>
      </w:r>
      <w:r w:rsidRPr="00F44104">
        <w:rPr>
          <w:lang w:val="ru-RU"/>
        </w:rPr>
        <w:t xml:space="preserve"> Казаков Р.А., </w:t>
      </w:r>
      <w:proofErr w:type="spellStart"/>
      <w:r w:rsidRPr="00F44104">
        <w:rPr>
          <w:lang w:val="ru-RU"/>
        </w:rPr>
        <w:t>Зволинский</w:t>
      </w:r>
      <w:proofErr w:type="spellEnd"/>
      <w:r w:rsidRPr="00F44104">
        <w:rPr>
          <w:lang w:val="ru-RU"/>
        </w:rPr>
        <w:t xml:space="preserve"> В.П., Федоров Ю.Н., </w:t>
      </w:r>
      <w:proofErr w:type="spellStart"/>
      <w:r w:rsidRPr="00F44104">
        <w:rPr>
          <w:lang w:val="ru-RU"/>
        </w:rPr>
        <w:t>Ледащева</w:t>
      </w:r>
      <w:proofErr w:type="spellEnd"/>
      <w:r w:rsidRPr="00F44104">
        <w:rPr>
          <w:lang w:val="ru-RU"/>
        </w:rPr>
        <w:t xml:space="preserve"> Т.Н. Динамика выбросов парниковых газов в черной металлургии России </w:t>
      </w:r>
      <w:r w:rsidRPr="00BB2086">
        <w:rPr>
          <w:lang w:val="ru-RU"/>
        </w:rPr>
        <w:t>–</w:t>
      </w:r>
      <w:r w:rsidRPr="00F44104">
        <w:rPr>
          <w:lang w:val="ru-RU"/>
        </w:rPr>
        <w:t xml:space="preserve"> Экология и промышленность России, июнь, 2011. </w:t>
      </w:r>
      <w:r w:rsidRPr="00BB2086">
        <w:rPr>
          <w:lang w:val="ru-RU"/>
        </w:rPr>
        <w:t>–</w:t>
      </w:r>
      <w:r w:rsidRPr="00F44104">
        <w:rPr>
          <w:lang w:val="ru-RU"/>
        </w:rPr>
        <w:t xml:space="preserve"> с. 44-48.</w:t>
      </w:r>
    </w:p>
  </w:footnote>
  <w:footnote w:id="29">
    <w:p w:rsidR="001A6790" w:rsidRPr="007E654D" w:rsidRDefault="001A6790" w:rsidP="007D6401">
      <w:pPr>
        <w:pStyle w:val="ab"/>
        <w:rPr>
          <w:lang w:val="ru-RU"/>
        </w:rPr>
      </w:pPr>
      <w:r>
        <w:rPr>
          <w:rStyle w:val="ad"/>
        </w:rPr>
        <w:footnoteRef/>
      </w:r>
      <w:r w:rsidRPr="00DC09B9">
        <w:rPr>
          <w:sz w:val="16"/>
          <w:lang w:val="ru-RU"/>
        </w:rPr>
        <w:t xml:space="preserve"> </w:t>
      </w:r>
      <w:r w:rsidRPr="00DC09B9">
        <w:rPr>
          <w:szCs w:val="24"/>
          <w:lang w:val="ru-RU"/>
        </w:rPr>
        <w:t xml:space="preserve">Государственный доклад «О состоянии и об охране окружающей среды в Российской Федерации». — М.: </w:t>
      </w:r>
      <w:proofErr w:type="spellStart"/>
      <w:r w:rsidRPr="00DC09B9">
        <w:rPr>
          <w:szCs w:val="24"/>
          <w:lang w:val="ru-RU"/>
        </w:rPr>
        <w:t>МПР</w:t>
      </w:r>
      <w:proofErr w:type="spellEnd"/>
      <w:r w:rsidRPr="00DC09B9">
        <w:rPr>
          <w:szCs w:val="24"/>
          <w:lang w:val="ru-RU"/>
        </w:rPr>
        <w:t>, 2008. —</w:t>
      </w:r>
      <w:r w:rsidRPr="00DC09B9">
        <w:rPr>
          <w:rFonts w:ascii="Arial" w:hAnsi="Arial" w:cs="Arial"/>
          <w:szCs w:val="24"/>
          <w:shd w:val="clear" w:color="auto" w:fill="CCFFFF"/>
          <w:lang w:val="ru-RU"/>
        </w:rPr>
        <w:t xml:space="preserve"> </w:t>
      </w:r>
      <w:hyperlink r:id="rId11" w:history="1">
        <w:r w:rsidRPr="00DC09B9">
          <w:rPr>
            <w:rStyle w:val="a9"/>
            <w:szCs w:val="24"/>
            <w:lang w:val="ru-RU"/>
          </w:rPr>
          <w:t>http://www.mnr.gov.ru/part/?act=more&amp;id=2993&amp;pid=1032</w:t>
        </w:r>
      </w:hyperlink>
    </w:p>
  </w:footnote>
  <w:footnote w:id="30">
    <w:p w:rsidR="001A6790" w:rsidRPr="004750EF" w:rsidRDefault="001A6790" w:rsidP="007D6401">
      <w:pPr>
        <w:spacing w:before="100" w:beforeAutospacing="1" w:after="100" w:afterAutospacing="1" w:line="240" w:lineRule="auto"/>
        <w:rPr>
          <w:lang w:val="ru-RU"/>
        </w:rPr>
      </w:pPr>
      <w:r>
        <w:rPr>
          <w:rStyle w:val="ad"/>
        </w:rPr>
        <w:footnoteRef/>
      </w:r>
      <w:r w:rsidRPr="004750EF">
        <w:rPr>
          <w:lang w:val="ru-RU"/>
        </w:rPr>
        <w:t xml:space="preserve"> </w:t>
      </w:r>
      <w:r w:rsidRPr="004750EF">
        <w:rPr>
          <w:rFonts w:ascii="Arial" w:eastAsia="Times New Roman" w:hAnsi="Arial" w:cs="Arial"/>
          <w:color w:val="000000"/>
          <w:sz w:val="18"/>
          <w:szCs w:val="18"/>
          <w:lang w:val="ru-RU"/>
        </w:rPr>
        <w:t>Нефтяники выступ</w:t>
      </w:r>
      <w:r>
        <w:rPr>
          <w:rFonts w:ascii="Arial" w:eastAsia="Times New Roman" w:hAnsi="Arial" w:cs="Arial"/>
          <w:color w:val="000000"/>
          <w:sz w:val="18"/>
          <w:szCs w:val="18"/>
          <w:lang w:val="ru-RU"/>
        </w:rPr>
        <w:t xml:space="preserve">или против инициативы Минприроды, </w:t>
      </w:r>
      <w:hyperlink r:id="rId12" w:tgtFrame="_blank" w:history="1">
        <w:r w:rsidRPr="004750EF">
          <w:rPr>
            <w:rFonts w:ascii="Arial" w:eastAsia="Times New Roman" w:hAnsi="Arial" w:cs="Arial"/>
            <w:color w:val="000000"/>
            <w:sz w:val="18"/>
            <w:szCs w:val="18"/>
            <w:lang w:val="ru-RU"/>
          </w:rPr>
          <w:t>Vedomosti.ru</w:t>
        </w:r>
      </w:hyperlink>
      <w:r>
        <w:rPr>
          <w:rFonts w:ascii="Arial" w:eastAsia="Times New Roman" w:hAnsi="Arial" w:cs="Arial"/>
          <w:color w:val="000000"/>
          <w:sz w:val="18"/>
          <w:szCs w:val="18"/>
          <w:lang w:val="ru-RU"/>
        </w:rPr>
        <w:t xml:space="preserve">, </w:t>
      </w:r>
      <w:r w:rsidRPr="0081267A">
        <w:rPr>
          <w:rFonts w:ascii="Arial" w:eastAsia="Times New Roman" w:hAnsi="Arial" w:cs="Arial"/>
          <w:color w:val="000000"/>
          <w:sz w:val="18"/>
          <w:szCs w:val="18"/>
          <w:lang w:val="ru-RU"/>
        </w:rPr>
        <w:t>14.10.2011</w:t>
      </w:r>
      <w:r>
        <w:rPr>
          <w:rFonts w:ascii="Arial" w:eastAsia="Times New Roman" w:hAnsi="Arial" w:cs="Arial"/>
          <w:color w:val="000000"/>
          <w:sz w:val="18"/>
          <w:szCs w:val="18"/>
          <w:lang w:val="ru-RU"/>
        </w:rPr>
        <w:t xml:space="preserve">, </w:t>
      </w:r>
      <w:hyperlink r:id="rId13" w:history="1">
        <w:r w:rsidRPr="00F27481">
          <w:rPr>
            <w:rStyle w:val="a9"/>
            <w:rFonts w:ascii="Arial" w:eastAsia="Times New Roman" w:hAnsi="Arial" w:cs="Arial"/>
            <w:sz w:val="18"/>
            <w:szCs w:val="18"/>
            <w:lang w:val="ru-RU"/>
          </w:rPr>
          <w:t>http://www.vedomosti.ru/companies/news/1392522/vechnyj_ogon</w:t>
        </w:r>
      </w:hyperlink>
      <w:r>
        <w:rPr>
          <w:rFonts w:ascii="Arial" w:eastAsia="Times New Roman" w:hAnsi="Arial" w:cs="Arial"/>
          <w:color w:val="000000"/>
          <w:sz w:val="18"/>
          <w:szCs w:val="18"/>
          <w:lang w:val="ru-RU"/>
        </w:rPr>
        <w:t xml:space="preserve"> </w:t>
      </w:r>
    </w:p>
  </w:footnote>
  <w:footnote w:id="31">
    <w:p w:rsidR="001A6790" w:rsidRPr="00850B50" w:rsidRDefault="001A6790" w:rsidP="007D6401">
      <w:pPr>
        <w:spacing w:after="0" w:line="240" w:lineRule="auto"/>
        <w:rPr>
          <w:rFonts w:ascii="Arial" w:eastAsia="Times New Roman" w:hAnsi="Arial" w:cs="Arial"/>
          <w:color w:val="000000"/>
          <w:sz w:val="18"/>
          <w:szCs w:val="18"/>
        </w:rPr>
      </w:pPr>
      <w:r>
        <w:rPr>
          <w:rStyle w:val="ad"/>
        </w:rPr>
        <w:footnoteRef/>
      </w:r>
      <w:r>
        <w:t xml:space="preserve"> </w:t>
      </w:r>
      <w:r w:rsidRPr="00850B50">
        <w:rPr>
          <w:rFonts w:ascii="Arial" w:eastAsia="Times New Roman" w:hAnsi="Arial" w:cs="Arial"/>
          <w:color w:val="000000"/>
          <w:sz w:val="18"/>
          <w:szCs w:val="18"/>
        </w:rPr>
        <w:t>GLOBAL CARBON EMISSIONS MONITOR, 10 November 2011,Week 44,Issue 243,Published by </w:t>
      </w:r>
      <w:proofErr w:type="spellStart"/>
      <w:r w:rsidRPr="00850B50">
        <w:rPr>
          <w:rFonts w:ascii="Arial" w:eastAsia="Times New Roman" w:hAnsi="Arial" w:cs="Arial"/>
          <w:color w:val="000000"/>
          <w:sz w:val="18"/>
          <w:szCs w:val="18"/>
        </w:rPr>
        <w:t>NewsBase</w:t>
      </w:r>
      <w:proofErr w:type="spellEnd"/>
    </w:p>
    <w:p w:rsidR="001A6790" w:rsidRPr="00850B50" w:rsidRDefault="001A6790" w:rsidP="007D6401">
      <w:pPr>
        <w:pStyle w:val="ab"/>
      </w:pPr>
    </w:p>
  </w:footnote>
  <w:footnote w:id="32">
    <w:p w:rsidR="001A6790" w:rsidRPr="000A5D9C" w:rsidRDefault="001A6790">
      <w:pPr>
        <w:pStyle w:val="ab"/>
        <w:rPr>
          <w:lang w:val="ru-RU"/>
        </w:rPr>
      </w:pPr>
      <w:r>
        <w:rPr>
          <w:rStyle w:val="ad"/>
        </w:rPr>
        <w:footnoteRef/>
      </w:r>
      <w:proofErr w:type="spellStart"/>
      <w:r w:rsidRPr="000A5D9C">
        <w:t>Pigou</w:t>
      </w:r>
      <w:proofErr w:type="spellEnd"/>
      <w:r w:rsidRPr="000A5D9C">
        <w:t xml:space="preserve">, A. C. (1920). </w:t>
      </w:r>
      <w:proofErr w:type="gramStart"/>
      <w:r w:rsidRPr="000A5D9C">
        <w:t>The Economics of Welfare.</w:t>
      </w:r>
      <w:proofErr w:type="gramEnd"/>
      <w:r w:rsidRPr="000A5D9C">
        <w:t xml:space="preserve"> London, Macmillan.</w:t>
      </w:r>
      <w:r>
        <w:t xml:space="preserve"> </w:t>
      </w:r>
    </w:p>
  </w:footnote>
  <w:footnote w:id="33">
    <w:p w:rsidR="001A6790" w:rsidRPr="000A5D9C" w:rsidRDefault="001A6790">
      <w:pPr>
        <w:pStyle w:val="ab"/>
      </w:pPr>
      <w:r>
        <w:rPr>
          <w:rStyle w:val="ad"/>
        </w:rPr>
        <w:footnoteRef/>
      </w:r>
      <w:r>
        <w:t xml:space="preserve"> </w:t>
      </w:r>
      <w:proofErr w:type="spellStart"/>
      <w:r w:rsidRPr="007B6E29">
        <w:t>Coase</w:t>
      </w:r>
      <w:proofErr w:type="spellEnd"/>
      <w:r w:rsidRPr="007B6E29">
        <w:t xml:space="preserve">, R. (1960). </w:t>
      </w:r>
      <w:proofErr w:type="gramStart"/>
      <w:r w:rsidRPr="007B6E29">
        <w:t>"The Problem of Social Cost."</w:t>
      </w:r>
      <w:proofErr w:type="gramEnd"/>
      <w:r w:rsidRPr="007B6E29">
        <w:t xml:space="preserve"> The Journal of Law and Economics 3(October):1-44.</w:t>
      </w:r>
    </w:p>
  </w:footnote>
  <w:footnote w:id="34">
    <w:p w:rsidR="001A6790" w:rsidRPr="000A5D9C" w:rsidRDefault="001A6790" w:rsidP="007B6E29">
      <w:pPr>
        <w:pStyle w:val="ab"/>
      </w:pPr>
      <w:r>
        <w:rPr>
          <w:rStyle w:val="ad"/>
        </w:rPr>
        <w:footnoteRef/>
      </w:r>
      <w:r>
        <w:t xml:space="preserve"> </w:t>
      </w:r>
      <w:r w:rsidRPr="000A5D9C">
        <w:t xml:space="preserve">Dales, J. H. (1968). </w:t>
      </w:r>
      <w:proofErr w:type="gramStart"/>
      <w:r w:rsidRPr="000A5D9C">
        <w:t>Pollution, Property and Prices.</w:t>
      </w:r>
      <w:proofErr w:type="gramEnd"/>
      <w:r w:rsidRPr="000A5D9C">
        <w:t xml:space="preserve"> Toronto, University of Toronto Press.</w:t>
      </w:r>
    </w:p>
  </w:footnote>
  <w:footnote w:id="35">
    <w:p w:rsidR="001A6790" w:rsidRPr="007B6E29" w:rsidRDefault="001A6790" w:rsidP="007B6E29">
      <w:pPr>
        <w:pStyle w:val="ab"/>
      </w:pPr>
      <w:r>
        <w:rPr>
          <w:rStyle w:val="ad"/>
        </w:rPr>
        <w:footnoteRef/>
      </w:r>
      <w:r>
        <w:t xml:space="preserve"> Crocker, T. D. (1966). </w:t>
      </w:r>
      <w:proofErr w:type="gramStart"/>
      <w:r>
        <w:t>The Structuring of Atmospheric Pollution Control Systems.</w:t>
      </w:r>
      <w:proofErr w:type="gramEnd"/>
      <w:r>
        <w:t xml:space="preserve"> </w:t>
      </w:r>
      <w:proofErr w:type="spellStart"/>
      <w:proofErr w:type="gramStart"/>
      <w:r>
        <w:t>TheEconomics</w:t>
      </w:r>
      <w:proofErr w:type="spellEnd"/>
      <w:r>
        <w:t xml:space="preserve"> of Air Pollution.</w:t>
      </w:r>
      <w:proofErr w:type="gramEnd"/>
      <w:r>
        <w:t xml:space="preserve"> H. </w:t>
      </w:r>
      <w:proofErr w:type="spellStart"/>
      <w:r>
        <w:t>Wolozin</w:t>
      </w:r>
      <w:proofErr w:type="spellEnd"/>
      <w:r>
        <w:t xml:space="preserve">. New York, W. </w:t>
      </w:r>
      <w:proofErr w:type="spellStart"/>
      <w:r>
        <w:t>W.Norton</w:t>
      </w:r>
      <w:proofErr w:type="spellEnd"/>
      <w:r>
        <w:t xml:space="preserve"> &amp; Co.: 61-86.</w:t>
      </w:r>
    </w:p>
  </w:footnote>
  <w:footnote w:id="36">
    <w:p w:rsidR="001A6790" w:rsidRPr="00085979" w:rsidRDefault="001A6790" w:rsidP="00085979">
      <w:pPr>
        <w:pStyle w:val="ab"/>
      </w:pPr>
      <w:r>
        <w:rPr>
          <w:rStyle w:val="ad"/>
        </w:rPr>
        <w:footnoteRef/>
      </w:r>
      <w:r>
        <w:t xml:space="preserve"> </w:t>
      </w:r>
      <w:proofErr w:type="spellStart"/>
      <w:proofErr w:type="gramStart"/>
      <w:r w:rsidRPr="00085979">
        <w:t>Baumol</w:t>
      </w:r>
      <w:proofErr w:type="spellEnd"/>
      <w:r w:rsidRPr="00085979">
        <w:t>, W. J. and W. E. Oates (1971).</w:t>
      </w:r>
      <w:proofErr w:type="gramEnd"/>
      <w:r w:rsidRPr="00085979">
        <w:t xml:space="preserve"> </w:t>
      </w:r>
      <w:proofErr w:type="gramStart"/>
      <w:r w:rsidRPr="00085979">
        <w:t>"The Use of Standards and Prices for Protection of the</w:t>
      </w:r>
      <w:r w:rsidRPr="00775757">
        <w:t xml:space="preserve"> </w:t>
      </w:r>
      <w:r w:rsidRPr="00085979">
        <w:t>Environment."</w:t>
      </w:r>
      <w:proofErr w:type="gramEnd"/>
      <w:r w:rsidRPr="00085979">
        <w:t xml:space="preserve"> Swedish Journal of Economics 73: 42-54.</w:t>
      </w:r>
    </w:p>
  </w:footnote>
  <w:footnote w:id="37">
    <w:p w:rsidR="001A6790" w:rsidRPr="001C46EA" w:rsidRDefault="001A6790">
      <w:pPr>
        <w:pStyle w:val="ab"/>
      </w:pPr>
      <w:r>
        <w:rPr>
          <w:rStyle w:val="ad"/>
        </w:rPr>
        <w:footnoteRef/>
      </w:r>
      <w:r>
        <w:t xml:space="preserve"> </w:t>
      </w:r>
      <w:proofErr w:type="gramStart"/>
      <w:r w:rsidRPr="000A7473">
        <w:t>Weitzman, M. (1974).</w:t>
      </w:r>
      <w:proofErr w:type="gramEnd"/>
      <w:r w:rsidRPr="000A7473">
        <w:t xml:space="preserve"> </w:t>
      </w:r>
      <w:proofErr w:type="gramStart"/>
      <w:r w:rsidRPr="000A7473">
        <w:t>“Prices vs. Quantities.”</w:t>
      </w:r>
      <w:proofErr w:type="gramEnd"/>
      <w:r w:rsidRPr="000A7473">
        <w:t xml:space="preserve"> The Review of Economics Studies 41(4): 477–491</w:t>
      </w:r>
      <w:r w:rsidRPr="009262A6">
        <w:t xml:space="preserve">, </w:t>
      </w:r>
    </w:p>
  </w:footnote>
  <w:footnote w:id="38">
    <w:p w:rsidR="001A6790" w:rsidRPr="00764B49" w:rsidRDefault="001A6790">
      <w:pPr>
        <w:pStyle w:val="ab"/>
      </w:pPr>
      <w:r>
        <w:rPr>
          <w:rStyle w:val="ad"/>
        </w:rPr>
        <w:footnoteRef/>
      </w:r>
      <w:r>
        <w:t xml:space="preserve"> </w:t>
      </w:r>
      <w:r w:rsidRPr="00764B49">
        <w:t>http://www.hks.harvard.edu/fs/rstavins/Monographs_&amp;_Reports/Project_88-1.pdf</w:t>
      </w:r>
    </w:p>
  </w:footnote>
  <w:footnote w:id="39">
    <w:p w:rsidR="001A6790" w:rsidRPr="00D87BB9" w:rsidRDefault="001A6790">
      <w:pPr>
        <w:pStyle w:val="ab"/>
      </w:pPr>
      <w:r>
        <w:rPr>
          <w:rStyle w:val="ad"/>
        </w:rPr>
        <w:footnoteRef/>
      </w:r>
      <w:r>
        <w:t xml:space="preserve"> </w:t>
      </w:r>
      <w:r w:rsidRPr="000A7473">
        <w:rPr>
          <w:szCs w:val="24"/>
        </w:rPr>
        <w:t xml:space="preserve">Inducing Clean Technology in the Electricity Sector: Tradable Permits or Carbon Tax Policies? </w:t>
      </w:r>
      <w:r w:rsidRPr="00C45F84">
        <w:rPr>
          <w:szCs w:val="24"/>
        </w:rPr>
        <w:t>Yihsu Chen, Chung-Li Tseng, The Energy Journal, Vol. 32, No.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B8"/>
    <w:multiLevelType w:val="multilevel"/>
    <w:tmpl w:val="9C785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A32B10"/>
    <w:multiLevelType w:val="hybridMultilevel"/>
    <w:tmpl w:val="81484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4C1401"/>
    <w:multiLevelType w:val="hybridMultilevel"/>
    <w:tmpl w:val="25189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34CAC"/>
    <w:multiLevelType w:val="hybridMultilevel"/>
    <w:tmpl w:val="2B84B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39097D"/>
    <w:multiLevelType w:val="hybridMultilevel"/>
    <w:tmpl w:val="776ABFC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
    <w:nsid w:val="107D35FB"/>
    <w:multiLevelType w:val="hybridMultilevel"/>
    <w:tmpl w:val="2216F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E547F3"/>
    <w:multiLevelType w:val="hybridMultilevel"/>
    <w:tmpl w:val="EC5AD5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FB4A92"/>
    <w:multiLevelType w:val="hybridMultilevel"/>
    <w:tmpl w:val="F7CE5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890DA7"/>
    <w:multiLevelType w:val="hybridMultilevel"/>
    <w:tmpl w:val="D8FCF742"/>
    <w:lvl w:ilvl="0" w:tplc="D59A03C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56B0432"/>
    <w:multiLevelType w:val="hybridMultilevel"/>
    <w:tmpl w:val="415E4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A924FF"/>
    <w:multiLevelType w:val="hybridMultilevel"/>
    <w:tmpl w:val="5630FA06"/>
    <w:lvl w:ilvl="0" w:tplc="C1046662">
      <w:start w:val="1"/>
      <w:numFmt w:val="decimal"/>
      <w:lvlText w:val="%1."/>
      <w:lvlJc w:val="left"/>
      <w:pPr>
        <w:ind w:left="1055" w:hanging="63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1">
    <w:nsid w:val="5EA70301"/>
    <w:multiLevelType w:val="hybridMultilevel"/>
    <w:tmpl w:val="C3985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8703A4"/>
    <w:multiLevelType w:val="hybridMultilevel"/>
    <w:tmpl w:val="90C44818"/>
    <w:lvl w:ilvl="0" w:tplc="0419000F">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3">
    <w:nsid w:val="60BC6A69"/>
    <w:multiLevelType w:val="hybridMultilevel"/>
    <w:tmpl w:val="196A7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6731AC"/>
    <w:multiLevelType w:val="hybridMultilevel"/>
    <w:tmpl w:val="8880347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6FE339C2"/>
    <w:multiLevelType w:val="hybridMultilevel"/>
    <w:tmpl w:val="292625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3A2054"/>
    <w:multiLevelType w:val="hybridMultilevel"/>
    <w:tmpl w:val="E3EED3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6E33BA1"/>
    <w:multiLevelType w:val="hybridMultilevel"/>
    <w:tmpl w:val="B8345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7571D7C"/>
    <w:multiLevelType w:val="hybridMultilevel"/>
    <w:tmpl w:val="93EC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BCB5B49"/>
    <w:multiLevelType w:val="hybridMultilevel"/>
    <w:tmpl w:val="A998D4B4"/>
    <w:lvl w:ilvl="0" w:tplc="0419000F">
      <w:start w:val="1"/>
      <w:numFmt w:val="decimal"/>
      <w:lvlText w:val="%1."/>
      <w:lvlJc w:val="left"/>
      <w:pPr>
        <w:ind w:left="1145" w:hanging="360"/>
      </w:pPr>
      <w:rPr>
        <w:rFonts w:cs="Times New Roman"/>
      </w:rPr>
    </w:lvl>
    <w:lvl w:ilvl="1" w:tplc="04190019">
      <w:start w:val="1"/>
      <w:numFmt w:val="lowerLetter"/>
      <w:lvlText w:val="%2."/>
      <w:lvlJc w:val="left"/>
      <w:pPr>
        <w:ind w:left="1865" w:hanging="360"/>
      </w:pPr>
      <w:rPr>
        <w:rFonts w:cs="Times New Roman"/>
      </w:rPr>
    </w:lvl>
    <w:lvl w:ilvl="2" w:tplc="0419001B">
      <w:start w:val="1"/>
      <w:numFmt w:val="lowerRoman"/>
      <w:lvlText w:val="%3."/>
      <w:lvlJc w:val="right"/>
      <w:pPr>
        <w:ind w:left="2585" w:hanging="180"/>
      </w:pPr>
      <w:rPr>
        <w:rFonts w:cs="Times New Roman"/>
      </w:rPr>
    </w:lvl>
    <w:lvl w:ilvl="3" w:tplc="0419000F">
      <w:start w:val="1"/>
      <w:numFmt w:val="decimal"/>
      <w:lvlText w:val="%4."/>
      <w:lvlJc w:val="left"/>
      <w:pPr>
        <w:ind w:left="3305" w:hanging="360"/>
      </w:pPr>
      <w:rPr>
        <w:rFonts w:cs="Times New Roman"/>
      </w:rPr>
    </w:lvl>
    <w:lvl w:ilvl="4" w:tplc="04190019">
      <w:start w:val="1"/>
      <w:numFmt w:val="lowerLetter"/>
      <w:lvlText w:val="%5."/>
      <w:lvlJc w:val="left"/>
      <w:pPr>
        <w:ind w:left="4025" w:hanging="360"/>
      </w:pPr>
      <w:rPr>
        <w:rFonts w:cs="Times New Roman"/>
      </w:rPr>
    </w:lvl>
    <w:lvl w:ilvl="5" w:tplc="0419001B">
      <w:start w:val="1"/>
      <w:numFmt w:val="lowerRoman"/>
      <w:lvlText w:val="%6."/>
      <w:lvlJc w:val="right"/>
      <w:pPr>
        <w:ind w:left="4745" w:hanging="180"/>
      </w:pPr>
      <w:rPr>
        <w:rFonts w:cs="Times New Roman"/>
      </w:rPr>
    </w:lvl>
    <w:lvl w:ilvl="6" w:tplc="0419000F">
      <w:start w:val="1"/>
      <w:numFmt w:val="decimal"/>
      <w:lvlText w:val="%7."/>
      <w:lvlJc w:val="left"/>
      <w:pPr>
        <w:ind w:left="5465" w:hanging="360"/>
      </w:pPr>
      <w:rPr>
        <w:rFonts w:cs="Times New Roman"/>
      </w:rPr>
    </w:lvl>
    <w:lvl w:ilvl="7" w:tplc="04190019">
      <w:start w:val="1"/>
      <w:numFmt w:val="lowerLetter"/>
      <w:lvlText w:val="%8."/>
      <w:lvlJc w:val="left"/>
      <w:pPr>
        <w:ind w:left="6185" w:hanging="360"/>
      </w:pPr>
      <w:rPr>
        <w:rFonts w:cs="Times New Roman"/>
      </w:rPr>
    </w:lvl>
    <w:lvl w:ilvl="8" w:tplc="0419001B">
      <w:start w:val="1"/>
      <w:numFmt w:val="lowerRoman"/>
      <w:lvlText w:val="%9."/>
      <w:lvlJc w:val="right"/>
      <w:pPr>
        <w:ind w:left="6905" w:hanging="180"/>
      </w:pPr>
      <w:rPr>
        <w:rFonts w:cs="Times New Roman"/>
      </w:rPr>
    </w:lvl>
  </w:abstractNum>
  <w:num w:numId="1">
    <w:abstractNumId w:val="0"/>
  </w:num>
  <w:num w:numId="2">
    <w:abstractNumId w:val="19"/>
  </w:num>
  <w:num w:numId="3">
    <w:abstractNumId w:val="10"/>
  </w:num>
  <w:num w:numId="4">
    <w:abstractNumId w:val="4"/>
  </w:num>
  <w:num w:numId="5">
    <w:abstractNumId w:val="17"/>
  </w:num>
  <w:num w:numId="6">
    <w:abstractNumId w:val="14"/>
  </w:num>
  <w:num w:numId="7">
    <w:abstractNumId w:val="16"/>
  </w:num>
  <w:num w:numId="8">
    <w:abstractNumId w:val="8"/>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5"/>
  </w:num>
  <w:num w:numId="14">
    <w:abstractNumId w:val="12"/>
  </w:num>
  <w:num w:numId="15">
    <w:abstractNumId w:val="7"/>
  </w:num>
  <w:num w:numId="16">
    <w:abstractNumId w:val="11"/>
  </w:num>
  <w:num w:numId="17">
    <w:abstractNumId w:val="9"/>
  </w:num>
  <w:num w:numId="18">
    <w:abstractNumId w:val="3"/>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D8D"/>
    <w:rsid w:val="00000CFD"/>
    <w:rsid w:val="00003606"/>
    <w:rsid w:val="0000550C"/>
    <w:rsid w:val="0001444F"/>
    <w:rsid w:val="000155DD"/>
    <w:rsid w:val="0001578F"/>
    <w:rsid w:val="000163B3"/>
    <w:rsid w:val="00030DE8"/>
    <w:rsid w:val="000311FC"/>
    <w:rsid w:val="00032546"/>
    <w:rsid w:val="000335B6"/>
    <w:rsid w:val="000361B0"/>
    <w:rsid w:val="0003645C"/>
    <w:rsid w:val="000371AB"/>
    <w:rsid w:val="00041ED4"/>
    <w:rsid w:val="0004245B"/>
    <w:rsid w:val="00043CB3"/>
    <w:rsid w:val="00046084"/>
    <w:rsid w:val="00052AB7"/>
    <w:rsid w:val="00057CA3"/>
    <w:rsid w:val="000621C4"/>
    <w:rsid w:val="00065CF8"/>
    <w:rsid w:val="00066ECC"/>
    <w:rsid w:val="00071BE1"/>
    <w:rsid w:val="00073C65"/>
    <w:rsid w:val="00073DB1"/>
    <w:rsid w:val="00073FC5"/>
    <w:rsid w:val="00077BDE"/>
    <w:rsid w:val="00080086"/>
    <w:rsid w:val="00082310"/>
    <w:rsid w:val="000831A1"/>
    <w:rsid w:val="000833AE"/>
    <w:rsid w:val="00084541"/>
    <w:rsid w:val="00085979"/>
    <w:rsid w:val="00085C4A"/>
    <w:rsid w:val="00087AE0"/>
    <w:rsid w:val="00092CAA"/>
    <w:rsid w:val="00093044"/>
    <w:rsid w:val="000931BA"/>
    <w:rsid w:val="0009458A"/>
    <w:rsid w:val="00096A73"/>
    <w:rsid w:val="000A28D9"/>
    <w:rsid w:val="000A29DF"/>
    <w:rsid w:val="000A4905"/>
    <w:rsid w:val="000A492C"/>
    <w:rsid w:val="000A5002"/>
    <w:rsid w:val="000A5D69"/>
    <w:rsid w:val="000A5D9C"/>
    <w:rsid w:val="000A626A"/>
    <w:rsid w:val="000A7473"/>
    <w:rsid w:val="000B03DC"/>
    <w:rsid w:val="000B1F53"/>
    <w:rsid w:val="000B3C20"/>
    <w:rsid w:val="000B3FCF"/>
    <w:rsid w:val="000B560D"/>
    <w:rsid w:val="000B7410"/>
    <w:rsid w:val="000C10C8"/>
    <w:rsid w:val="000C3898"/>
    <w:rsid w:val="000C39F8"/>
    <w:rsid w:val="000C4455"/>
    <w:rsid w:val="000C58F8"/>
    <w:rsid w:val="000D084C"/>
    <w:rsid w:val="000D19A3"/>
    <w:rsid w:val="000D272B"/>
    <w:rsid w:val="000D37F2"/>
    <w:rsid w:val="000D51B9"/>
    <w:rsid w:val="000D51E6"/>
    <w:rsid w:val="000D5FDD"/>
    <w:rsid w:val="000E165F"/>
    <w:rsid w:val="000F2D0D"/>
    <w:rsid w:val="000F3A85"/>
    <w:rsid w:val="000F47F9"/>
    <w:rsid w:val="000F5809"/>
    <w:rsid w:val="000F5E39"/>
    <w:rsid w:val="00101191"/>
    <w:rsid w:val="001013C1"/>
    <w:rsid w:val="00103EF6"/>
    <w:rsid w:val="001070CE"/>
    <w:rsid w:val="00110A23"/>
    <w:rsid w:val="0011310B"/>
    <w:rsid w:val="00121739"/>
    <w:rsid w:val="001250E8"/>
    <w:rsid w:val="00125FAF"/>
    <w:rsid w:val="00126052"/>
    <w:rsid w:val="00126AB6"/>
    <w:rsid w:val="0013034D"/>
    <w:rsid w:val="001316D5"/>
    <w:rsid w:val="00135528"/>
    <w:rsid w:val="00143146"/>
    <w:rsid w:val="00145381"/>
    <w:rsid w:val="00146E3E"/>
    <w:rsid w:val="00150A79"/>
    <w:rsid w:val="001545F0"/>
    <w:rsid w:val="001564DB"/>
    <w:rsid w:val="00161384"/>
    <w:rsid w:val="00164F98"/>
    <w:rsid w:val="00165069"/>
    <w:rsid w:val="00171E0A"/>
    <w:rsid w:val="00173039"/>
    <w:rsid w:val="001770BD"/>
    <w:rsid w:val="001819B7"/>
    <w:rsid w:val="00182894"/>
    <w:rsid w:val="0018454C"/>
    <w:rsid w:val="00187B32"/>
    <w:rsid w:val="00193C82"/>
    <w:rsid w:val="00194C12"/>
    <w:rsid w:val="00195EDC"/>
    <w:rsid w:val="001A01F5"/>
    <w:rsid w:val="001A15CB"/>
    <w:rsid w:val="001A1DC1"/>
    <w:rsid w:val="001A20B7"/>
    <w:rsid w:val="001A3F58"/>
    <w:rsid w:val="001A6333"/>
    <w:rsid w:val="001A6790"/>
    <w:rsid w:val="001A714A"/>
    <w:rsid w:val="001B0453"/>
    <w:rsid w:val="001B1D3C"/>
    <w:rsid w:val="001B325E"/>
    <w:rsid w:val="001B4A01"/>
    <w:rsid w:val="001B730C"/>
    <w:rsid w:val="001B77E5"/>
    <w:rsid w:val="001B7E42"/>
    <w:rsid w:val="001C429A"/>
    <w:rsid w:val="001C46EA"/>
    <w:rsid w:val="001C77B4"/>
    <w:rsid w:val="001D3405"/>
    <w:rsid w:val="001D40BA"/>
    <w:rsid w:val="001D463A"/>
    <w:rsid w:val="001D4940"/>
    <w:rsid w:val="001D7801"/>
    <w:rsid w:val="001E23FD"/>
    <w:rsid w:val="001E7012"/>
    <w:rsid w:val="001F1540"/>
    <w:rsid w:val="001F7DCC"/>
    <w:rsid w:val="002000D4"/>
    <w:rsid w:val="00201FD9"/>
    <w:rsid w:val="00206159"/>
    <w:rsid w:val="0021080B"/>
    <w:rsid w:val="0021508A"/>
    <w:rsid w:val="002200C6"/>
    <w:rsid w:val="00220132"/>
    <w:rsid w:val="0022315A"/>
    <w:rsid w:val="00230DAC"/>
    <w:rsid w:val="00231F61"/>
    <w:rsid w:val="002342AB"/>
    <w:rsid w:val="00235692"/>
    <w:rsid w:val="00236F1E"/>
    <w:rsid w:val="00243028"/>
    <w:rsid w:val="00245EA7"/>
    <w:rsid w:val="00251791"/>
    <w:rsid w:val="00251C21"/>
    <w:rsid w:val="002549F3"/>
    <w:rsid w:val="00257983"/>
    <w:rsid w:val="002625FA"/>
    <w:rsid w:val="002636C3"/>
    <w:rsid w:val="0026418E"/>
    <w:rsid w:val="00264B2F"/>
    <w:rsid w:val="002674EB"/>
    <w:rsid w:val="00270EAC"/>
    <w:rsid w:val="0027720E"/>
    <w:rsid w:val="002807B4"/>
    <w:rsid w:val="00284466"/>
    <w:rsid w:val="00284DF7"/>
    <w:rsid w:val="002875C9"/>
    <w:rsid w:val="00292B9C"/>
    <w:rsid w:val="002A1B77"/>
    <w:rsid w:val="002A2289"/>
    <w:rsid w:val="002A3500"/>
    <w:rsid w:val="002A5BC5"/>
    <w:rsid w:val="002A7E5C"/>
    <w:rsid w:val="002B4F92"/>
    <w:rsid w:val="002B5362"/>
    <w:rsid w:val="002B7461"/>
    <w:rsid w:val="002C19B9"/>
    <w:rsid w:val="002C3B69"/>
    <w:rsid w:val="002C784E"/>
    <w:rsid w:val="002D41FC"/>
    <w:rsid w:val="002D4668"/>
    <w:rsid w:val="002E0308"/>
    <w:rsid w:val="002E0519"/>
    <w:rsid w:val="002E1A27"/>
    <w:rsid w:val="002E4C05"/>
    <w:rsid w:val="002F4E59"/>
    <w:rsid w:val="00300AA2"/>
    <w:rsid w:val="003018CB"/>
    <w:rsid w:val="0030352F"/>
    <w:rsid w:val="00306878"/>
    <w:rsid w:val="00310DA4"/>
    <w:rsid w:val="003139B6"/>
    <w:rsid w:val="00314307"/>
    <w:rsid w:val="00315383"/>
    <w:rsid w:val="003174E2"/>
    <w:rsid w:val="00317564"/>
    <w:rsid w:val="00317C60"/>
    <w:rsid w:val="00320483"/>
    <w:rsid w:val="00320BC8"/>
    <w:rsid w:val="00326020"/>
    <w:rsid w:val="00330EC6"/>
    <w:rsid w:val="00331417"/>
    <w:rsid w:val="00332F91"/>
    <w:rsid w:val="00335747"/>
    <w:rsid w:val="003364F6"/>
    <w:rsid w:val="0034174A"/>
    <w:rsid w:val="00343473"/>
    <w:rsid w:val="00353834"/>
    <w:rsid w:val="00365A9D"/>
    <w:rsid w:val="0037027F"/>
    <w:rsid w:val="00371193"/>
    <w:rsid w:val="00371CD5"/>
    <w:rsid w:val="00372689"/>
    <w:rsid w:val="00374054"/>
    <w:rsid w:val="00384547"/>
    <w:rsid w:val="003929D2"/>
    <w:rsid w:val="00396CC0"/>
    <w:rsid w:val="0039714B"/>
    <w:rsid w:val="003973F8"/>
    <w:rsid w:val="003A0FBC"/>
    <w:rsid w:val="003A1214"/>
    <w:rsid w:val="003A3823"/>
    <w:rsid w:val="003A548E"/>
    <w:rsid w:val="003A75DD"/>
    <w:rsid w:val="003B0262"/>
    <w:rsid w:val="003B15D0"/>
    <w:rsid w:val="003B7BD4"/>
    <w:rsid w:val="003C0AF7"/>
    <w:rsid w:val="003C0CBC"/>
    <w:rsid w:val="003C270A"/>
    <w:rsid w:val="003C51BD"/>
    <w:rsid w:val="003C6A1F"/>
    <w:rsid w:val="003D52D6"/>
    <w:rsid w:val="003D5F30"/>
    <w:rsid w:val="003E0DC8"/>
    <w:rsid w:val="003E1D7D"/>
    <w:rsid w:val="003E3A47"/>
    <w:rsid w:val="003E7304"/>
    <w:rsid w:val="003E7E58"/>
    <w:rsid w:val="003F0CCE"/>
    <w:rsid w:val="003F179C"/>
    <w:rsid w:val="003F4069"/>
    <w:rsid w:val="003F4406"/>
    <w:rsid w:val="00401FCA"/>
    <w:rsid w:val="00403C48"/>
    <w:rsid w:val="00404D43"/>
    <w:rsid w:val="00405782"/>
    <w:rsid w:val="0041013B"/>
    <w:rsid w:val="00410459"/>
    <w:rsid w:val="00411B9D"/>
    <w:rsid w:val="0041256A"/>
    <w:rsid w:val="00412CAB"/>
    <w:rsid w:val="004142B5"/>
    <w:rsid w:val="00415B37"/>
    <w:rsid w:val="004172BE"/>
    <w:rsid w:val="0042025D"/>
    <w:rsid w:val="0042389F"/>
    <w:rsid w:val="00423C7B"/>
    <w:rsid w:val="00425523"/>
    <w:rsid w:val="00437795"/>
    <w:rsid w:val="00442720"/>
    <w:rsid w:val="004430CE"/>
    <w:rsid w:val="00444642"/>
    <w:rsid w:val="0044758D"/>
    <w:rsid w:val="00450537"/>
    <w:rsid w:val="00454E67"/>
    <w:rsid w:val="004577E1"/>
    <w:rsid w:val="00460E5B"/>
    <w:rsid w:val="00463C87"/>
    <w:rsid w:val="00471104"/>
    <w:rsid w:val="004731A8"/>
    <w:rsid w:val="00473C74"/>
    <w:rsid w:val="004750EF"/>
    <w:rsid w:val="004759E8"/>
    <w:rsid w:val="004801DB"/>
    <w:rsid w:val="00492592"/>
    <w:rsid w:val="00492A10"/>
    <w:rsid w:val="00492A2E"/>
    <w:rsid w:val="004A2940"/>
    <w:rsid w:val="004A4025"/>
    <w:rsid w:val="004B0600"/>
    <w:rsid w:val="004B10F5"/>
    <w:rsid w:val="004B3DF6"/>
    <w:rsid w:val="004B46CC"/>
    <w:rsid w:val="004B4E7D"/>
    <w:rsid w:val="004C2076"/>
    <w:rsid w:val="004C576E"/>
    <w:rsid w:val="004C6129"/>
    <w:rsid w:val="004D09B4"/>
    <w:rsid w:val="004D0B6A"/>
    <w:rsid w:val="004D24E6"/>
    <w:rsid w:val="004D4384"/>
    <w:rsid w:val="004D4FF8"/>
    <w:rsid w:val="004E3124"/>
    <w:rsid w:val="004E408B"/>
    <w:rsid w:val="004E5B63"/>
    <w:rsid w:val="004F219B"/>
    <w:rsid w:val="004F3399"/>
    <w:rsid w:val="004F77C0"/>
    <w:rsid w:val="005005BC"/>
    <w:rsid w:val="00502ABA"/>
    <w:rsid w:val="00506080"/>
    <w:rsid w:val="00507264"/>
    <w:rsid w:val="0051638D"/>
    <w:rsid w:val="00520EA8"/>
    <w:rsid w:val="00521788"/>
    <w:rsid w:val="00524955"/>
    <w:rsid w:val="00530060"/>
    <w:rsid w:val="0053304B"/>
    <w:rsid w:val="00540998"/>
    <w:rsid w:val="00546847"/>
    <w:rsid w:val="00547D6C"/>
    <w:rsid w:val="005503FF"/>
    <w:rsid w:val="00550963"/>
    <w:rsid w:val="005519F0"/>
    <w:rsid w:val="00552704"/>
    <w:rsid w:val="00554237"/>
    <w:rsid w:val="00554862"/>
    <w:rsid w:val="00562914"/>
    <w:rsid w:val="00563702"/>
    <w:rsid w:val="00564F61"/>
    <w:rsid w:val="0057123F"/>
    <w:rsid w:val="005731D5"/>
    <w:rsid w:val="00575279"/>
    <w:rsid w:val="00581D8D"/>
    <w:rsid w:val="00585911"/>
    <w:rsid w:val="00590554"/>
    <w:rsid w:val="00590B8B"/>
    <w:rsid w:val="005970A8"/>
    <w:rsid w:val="005A57BD"/>
    <w:rsid w:val="005A6824"/>
    <w:rsid w:val="005B2E3A"/>
    <w:rsid w:val="005C3B40"/>
    <w:rsid w:val="005C50AF"/>
    <w:rsid w:val="005D139E"/>
    <w:rsid w:val="005D5E4C"/>
    <w:rsid w:val="005D6822"/>
    <w:rsid w:val="005D6FD2"/>
    <w:rsid w:val="005E0D06"/>
    <w:rsid w:val="005F0AF8"/>
    <w:rsid w:val="005F1C90"/>
    <w:rsid w:val="005F3C99"/>
    <w:rsid w:val="005F442B"/>
    <w:rsid w:val="0060028E"/>
    <w:rsid w:val="00601771"/>
    <w:rsid w:val="00601BB7"/>
    <w:rsid w:val="00603DB9"/>
    <w:rsid w:val="006043DC"/>
    <w:rsid w:val="00604EAC"/>
    <w:rsid w:val="00605DC9"/>
    <w:rsid w:val="0060745D"/>
    <w:rsid w:val="006078BD"/>
    <w:rsid w:val="006103A9"/>
    <w:rsid w:val="00612EA9"/>
    <w:rsid w:val="00615FCE"/>
    <w:rsid w:val="0061649E"/>
    <w:rsid w:val="006164FF"/>
    <w:rsid w:val="006213E5"/>
    <w:rsid w:val="006238D0"/>
    <w:rsid w:val="006326C4"/>
    <w:rsid w:val="006338A3"/>
    <w:rsid w:val="00635199"/>
    <w:rsid w:val="00641FAD"/>
    <w:rsid w:val="00650F72"/>
    <w:rsid w:val="0065201B"/>
    <w:rsid w:val="0065283E"/>
    <w:rsid w:val="00653066"/>
    <w:rsid w:val="0065656F"/>
    <w:rsid w:val="006568AB"/>
    <w:rsid w:val="00657DAF"/>
    <w:rsid w:val="006624C2"/>
    <w:rsid w:val="00663B3C"/>
    <w:rsid w:val="006736BD"/>
    <w:rsid w:val="0067587B"/>
    <w:rsid w:val="00677AE8"/>
    <w:rsid w:val="00681587"/>
    <w:rsid w:val="00683EAE"/>
    <w:rsid w:val="00686824"/>
    <w:rsid w:val="00691FF3"/>
    <w:rsid w:val="0069544B"/>
    <w:rsid w:val="0069631B"/>
    <w:rsid w:val="006A11B2"/>
    <w:rsid w:val="006A6050"/>
    <w:rsid w:val="006A7DAD"/>
    <w:rsid w:val="006B001A"/>
    <w:rsid w:val="006C0A22"/>
    <w:rsid w:val="006C1F00"/>
    <w:rsid w:val="006C2CF5"/>
    <w:rsid w:val="006C4B30"/>
    <w:rsid w:val="006C7EBD"/>
    <w:rsid w:val="006D5603"/>
    <w:rsid w:val="006D5AC2"/>
    <w:rsid w:val="006D7B9E"/>
    <w:rsid w:val="006E51CF"/>
    <w:rsid w:val="006E57EF"/>
    <w:rsid w:val="006E73E2"/>
    <w:rsid w:val="006F3B75"/>
    <w:rsid w:val="006F4899"/>
    <w:rsid w:val="006F498C"/>
    <w:rsid w:val="006F6F5D"/>
    <w:rsid w:val="00703909"/>
    <w:rsid w:val="00704BAA"/>
    <w:rsid w:val="00712000"/>
    <w:rsid w:val="0071629D"/>
    <w:rsid w:val="007162A7"/>
    <w:rsid w:val="007173C5"/>
    <w:rsid w:val="0072115C"/>
    <w:rsid w:val="007232FD"/>
    <w:rsid w:val="00726EF8"/>
    <w:rsid w:val="00730BF1"/>
    <w:rsid w:val="007314F2"/>
    <w:rsid w:val="007344CE"/>
    <w:rsid w:val="007428AB"/>
    <w:rsid w:val="00743601"/>
    <w:rsid w:val="00743743"/>
    <w:rsid w:val="00745C89"/>
    <w:rsid w:val="00747129"/>
    <w:rsid w:val="00754F56"/>
    <w:rsid w:val="00755A39"/>
    <w:rsid w:val="00756D58"/>
    <w:rsid w:val="007626F2"/>
    <w:rsid w:val="00764331"/>
    <w:rsid w:val="00764639"/>
    <w:rsid w:val="0076483C"/>
    <w:rsid w:val="00764B49"/>
    <w:rsid w:val="00767036"/>
    <w:rsid w:val="007673F8"/>
    <w:rsid w:val="00767881"/>
    <w:rsid w:val="00770F7E"/>
    <w:rsid w:val="00775757"/>
    <w:rsid w:val="00776186"/>
    <w:rsid w:val="007813D2"/>
    <w:rsid w:val="00781F1C"/>
    <w:rsid w:val="007844BF"/>
    <w:rsid w:val="0078459C"/>
    <w:rsid w:val="00785186"/>
    <w:rsid w:val="007871AB"/>
    <w:rsid w:val="00790040"/>
    <w:rsid w:val="007932BE"/>
    <w:rsid w:val="00793DEC"/>
    <w:rsid w:val="007A36EC"/>
    <w:rsid w:val="007A3BDB"/>
    <w:rsid w:val="007B106F"/>
    <w:rsid w:val="007B10C1"/>
    <w:rsid w:val="007B1FE4"/>
    <w:rsid w:val="007B3801"/>
    <w:rsid w:val="007B3A45"/>
    <w:rsid w:val="007B6C01"/>
    <w:rsid w:val="007B6E29"/>
    <w:rsid w:val="007B7D4C"/>
    <w:rsid w:val="007C0B8B"/>
    <w:rsid w:val="007C285A"/>
    <w:rsid w:val="007C5248"/>
    <w:rsid w:val="007C5C3F"/>
    <w:rsid w:val="007C6CFC"/>
    <w:rsid w:val="007D0B83"/>
    <w:rsid w:val="007D0F31"/>
    <w:rsid w:val="007D507F"/>
    <w:rsid w:val="007D6401"/>
    <w:rsid w:val="007D713C"/>
    <w:rsid w:val="007D77DB"/>
    <w:rsid w:val="007E01CC"/>
    <w:rsid w:val="007E19D1"/>
    <w:rsid w:val="007E654D"/>
    <w:rsid w:val="007E66D1"/>
    <w:rsid w:val="007E7004"/>
    <w:rsid w:val="0080192C"/>
    <w:rsid w:val="00802249"/>
    <w:rsid w:val="00804EED"/>
    <w:rsid w:val="00804FD5"/>
    <w:rsid w:val="00805D61"/>
    <w:rsid w:val="00805F37"/>
    <w:rsid w:val="00806848"/>
    <w:rsid w:val="0081562A"/>
    <w:rsid w:val="00816259"/>
    <w:rsid w:val="008212F1"/>
    <w:rsid w:val="00823010"/>
    <w:rsid w:val="00824B12"/>
    <w:rsid w:val="008307C1"/>
    <w:rsid w:val="00835B53"/>
    <w:rsid w:val="00837238"/>
    <w:rsid w:val="00837B0F"/>
    <w:rsid w:val="00840B4D"/>
    <w:rsid w:val="008451BE"/>
    <w:rsid w:val="00845280"/>
    <w:rsid w:val="00850B50"/>
    <w:rsid w:val="008511EE"/>
    <w:rsid w:val="008514D4"/>
    <w:rsid w:val="00852B0D"/>
    <w:rsid w:val="0085411A"/>
    <w:rsid w:val="00857407"/>
    <w:rsid w:val="008611E8"/>
    <w:rsid w:val="008645A0"/>
    <w:rsid w:val="00866B6B"/>
    <w:rsid w:val="00874ACC"/>
    <w:rsid w:val="00876F9B"/>
    <w:rsid w:val="008823A9"/>
    <w:rsid w:val="0088439A"/>
    <w:rsid w:val="0088599A"/>
    <w:rsid w:val="0088644D"/>
    <w:rsid w:val="00896E1F"/>
    <w:rsid w:val="008A04FC"/>
    <w:rsid w:val="008A0BBB"/>
    <w:rsid w:val="008A2356"/>
    <w:rsid w:val="008A6FEA"/>
    <w:rsid w:val="008A7610"/>
    <w:rsid w:val="008B0EBC"/>
    <w:rsid w:val="008B27ED"/>
    <w:rsid w:val="008B48B4"/>
    <w:rsid w:val="008B5794"/>
    <w:rsid w:val="008B6CB3"/>
    <w:rsid w:val="008C0D09"/>
    <w:rsid w:val="008C33E6"/>
    <w:rsid w:val="008C5445"/>
    <w:rsid w:val="008C678B"/>
    <w:rsid w:val="008C7ED2"/>
    <w:rsid w:val="008D0267"/>
    <w:rsid w:val="008D45E0"/>
    <w:rsid w:val="008D66DB"/>
    <w:rsid w:val="008E1842"/>
    <w:rsid w:val="008E78E3"/>
    <w:rsid w:val="008F24DC"/>
    <w:rsid w:val="008F3C68"/>
    <w:rsid w:val="008F6F73"/>
    <w:rsid w:val="00905D07"/>
    <w:rsid w:val="009062FC"/>
    <w:rsid w:val="00907AEA"/>
    <w:rsid w:val="00910721"/>
    <w:rsid w:val="00910CAA"/>
    <w:rsid w:val="0091188E"/>
    <w:rsid w:val="009129E9"/>
    <w:rsid w:val="0092010A"/>
    <w:rsid w:val="00921F2B"/>
    <w:rsid w:val="00926063"/>
    <w:rsid w:val="009262A6"/>
    <w:rsid w:val="00931D3B"/>
    <w:rsid w:val="00934DC5"/>
    <w:rsid w:val="009364CD"/>
    <w:rsid w:val="00936883"/>
    <w:rsid w:val="00946E40"/>
    <w:rsid w:val="00950DB1"/>
    <w:rsid w:val="00953FF2"/>
    <w:rsid w:val="00956C37"/>
    <w:rsid w:val="00960C14"/>
    <w:rsid w:val="00961805"/>
    <w:rsid w:val="00972199"/>
    <w:rsid w:val="00975297"/>
    <w:rsid w:val="00975AB5"/>
    <w:rsid w:val="00976B2B"/>
    <w:rsid w:val="00980E1B"/>
    <w:rsid w:val="009811AC"/>
    <w:rsid w:val="009819DA"/>
    <w:rsid w:val="0098314C"/>
    <w:rsid w:val="009867BC"/>
    <w:rsid w:val="00995C74"/>
    <w:rsid w:val="009A0EC9"/>
    <w:rsid w:val="009A364B"/>
    <w:rsid w:val="009A3C8F"/>
    <w:rsid w:val="009A5E8D"/>
    <w:rsid w:val="009A6BB4"/>
    <w:rsid w:val="009A73FD"/>
    <w:rsid w:val="009C237B"/>
    <w:rsid w:val="009C2C61"/>
    <w:rsid w:val="009C3C4B"/>
    <w:rsid w:val="009C4F48"/>
    <w:rsid w:val="009D1D6E"/>
    <w:rsid w:val="009D2AF7"/>
    <w:rsid w:val="009D3276"/>
    <w:rsid w:val="009D44FD"/>
    <w:rsid w:val="009D557F"/>
    <w:rsid w:val="009E05A1"/>
    <w:rsid w:val="009E5952"/>
    <w:rsid w:val="009E75DC"/>
    <w:rsid w:val="009F2592"/>
    <w:rsid w:val="009F352D"/>
    <w:rsid w:val="00A01861"/>
    <w:rsid w:val="00A178CB"/>
    <w:rsid w:val="00A205D3"/>
    <w:rsid w:val="00A212EC"/>
    <w:rsid w:val="00A21A24"/>
    <w:rsid w:val="00A22A44"/>
    <w:rsid w:val="00A233DF"/>
    <w:rsid w:val="00A25571"/>
    <w:rsid w:val="00A26094"/>
    <w:rsid w:val="00A26C96"/>
    <w:rsid w:val="00A30689"/>
    <w:rsid w:val="00A33DDE"/>
    <w:rsid w:val="00A35C6B"/>
    <w:rsid w:val="00A37C4C"/>
    <w:rsid w:val="00A409C0"/>
    <w:rsid w:val="00A43346"/>
    <w:rsid w:val="00A470CB"/>
    <w:rsid w:val="00A51B41"/>
    <w:rsid w:val="00A567F0"/>
    <w:rsid w:val="00A56A7B"/>
    <w:rsid w:val="00A6277A"/>
    <w:rsid w:val="00A64EB8"/>
    <w:rsid w:val="00A67745"/>
    <w:rsid w:val="00A72642"/>
    <w:rsid w:val="00A80776"/>
    <w:rsid w:val="00A82EA2"/>
    <w:rsid w:val="00A86B8C"/>
    <w:rsid w:val="00A93C09"/>
    <w:rsid w:val="00A9579D"/>
    <w:rsid w:val="00A96500"/>
    <w:rsid w:val="00A97D8E"/>
    <w:rsid w:val="00AA3B45"/>
    <w:rsid w:val="00AA49FD"/>
    <w:rsid w:val="00AB038F"/>
    <w:rsid w:val="00AB0449"/>
    <w:rsid w:val="00AB0D0C"/>
    <w:rsid w:val="00AB10B0"/>
    <w:rsid w:val="00AB1974"/>
    <w:rsid w:val="00AB5C17"/>
    <w:rsid w:val="00AB74CB"/>
    <w:rsid w:val="00AC0630"/>
    <w:rsid w:val="00AD0235"/>
    <w:rsid w:val="00AD0B49"/>
    <w:rsid w:val="00AD1A36"/>
    <w:rsid w:val="00AD1CB3"/>
    <w:rsid w:val="00AD3589"/>
    <w:rsid w:val="00AD537E"/>
    <w:rsid w:val="00AD687E"/>
    <w:rsid w:val="00AE0021"/>
    <w:rsid w:val="00AE50AB"/>
    <w:rsid w:val="00AE6050"/>
    <w:rsid w:val="00AF3319"/>
    <w:rsid w:val="00AF361C"/>
    <w:rsid w:val="00AF3C00"/>
    <w:rsid w:val="00AF4F2E"/>
    <w:rsid w:val="00B021B7"/>
    <w:rsid w:val="00B03864"/>
    <w:rsid w:val="00B03FA2"/>
    <w:rsid w:val="00B078A1"/>
    <w:rsid w:val="00B10493"/>
    <w:rsid w:val="00B16739"/>
    <w:rsid w:val="00B169E4"/>
    <w:rsid w:val="00B206AA"/>
    <w:rsid w:val="00B2311C"/>
    <w:rsid w:val="00B24C3B"/>
    <w:rsid w:val="00B25B03"/>
    <w:rsid w:val="00B30EA3"/>
    <w:rsid w:val="00B34D90"/>
    <w:rsid w:val="00B35A3B"/>
    <w:rsid w:val="00B36C0C"/>
    <w:rsid w:val="00B4062B"/>
    <w:rsid w:val="00B41A43"/>
    <w:rsid w:val="00B43F55"/>
    <w:rsid w:val="00B44CFF"/>
    <w:rsid w:val="00B516CF"/>
    <w:rsid w:val="00B5601C"/>
    <w:rsid w:val="00B56620"/>
    <w:rsid w:val="00B5682D"/>
    <w:rsid w:val="00B61DF1"/>
    <w:rsid w:val="00B62E6C"/>
    <w:rsid w:val="00B62F61"/>
    <w:rsid w:val="00B6482E"/>
    <w:rsid w:val="00B7165D"/>
    <w:rsid w:val="00B75C6F"/>
    <w:rsid w:val="00B8010F"/>
    <w:rsid w:val="00B85FA0"/>
    <w:rsid w:val="00B87182"/>
    <w:rsid w:val="00B9095F"/>
    <w:rsid w:val="00BA1745"/>
    <w:rsid w:val="00BA3942"/>
    <w:rsid w:val="00BA540E"/>
    <w:rsid w:val="00BA6946"/>
    <w:rsid w:val="00BB04DC"/>
    <w:rsid w:val="00BB140F"/>
    <w:rsid w:val="00BB1DDB"/>
    <w:rsid w:val="00BB2086"/>
    <w:rsid w:val="00BB653E"/>
    <w:rsid w:val="00BB73EB"/>
    <w:rsid w:val="00BB7D35"/>
    <w:rsid w:val="00BC27A3"/>
    <w:rsid w:val="00BC4332"/>
    <w:rsid w:val="00BD227B"/>
    <w:rsid w:val="00BD3BB6"/>
    <w:rsid w:val="00BD63FE"/>
    <w:rsid w:val="00BE350F"/>
    <w:rsid w:val="00BE5E9D"/>
    <w:rsid w:val="00BE74AB"/>
    <w:rsid w:val="00BF0A7A"/>
    <w:rsid w:val="00BF0B72"/>
    <w:rsid w:val="00BF1467"/>
    <w:rsid w:val="00BF4285"/>
    <w:rsid w:val="00BF6033"/>
    <w:rsid w:val="00BF657A"/>
    <w:rsid w:val="00C04418"/>
    <w:rsid w:val="00C10D12"/>
    <w:rsid w:val="00C111D6"/>
    <w:rsid w:val="00C117DE"/>
    <w:rsid w:val="00C125EB"/>
    <w:rsid w:val="00C15D56"/>
    <w:rsid w:val="00C17505"/>
    <w:rsid w:val="00C23640"/>
    <w:rsid w:val="00C240FD"/>
    <w:rsid w:val="00C27BED"/>
    <w:rsid w:val="00C31573"/>
    <w:rsid w:val="00C3449E"/>
    <w:rsid w:val="00C37B0C"/>
    <w:rsid w:val="00C4247F"/>
    <w:rsid w:val="00C43533"/>
    <w:rsid w:val="00C44466"/>
    <w:rsid w:val="00C45F84"/>
    <w:rsid w:val="00C51D56"/>
    <w:rsid w:val="00C51F6E"/>
    <w:rsid w:val="00C525A6"/>
    <w:rsid w:val="00C565E6"/>
    <w:rsid w:val="00C6421F"/>
    <w:rsid w:val="00C70C92"/>
    <w:rsid w:val="00C7268A"/>
    <w:rsid w:val="00C74DF2"/>
    <w:rsid w:val="00C75963"/>
    <w:rsid w:val="00C7795B"/>
    <w:rsid w:val="00C77FAA"/>
    <w:rsid w:val="00C81348"/>
    <w:rsid w:val="00C85CB5"/>
    <w:rsid w:val="00C92E5C"/>
    <w:rsid w:val="00CA249A"/>
    <w:rsid w:val="00CA258C"/>
    <w:rsid w:val="00CA4ED3"/>
    <w:rsid w:val="00CA68F6"/>
    <w:rsid w:val="00CA7655"/>
    <w:rsid w:val="00CB05F7"/>
    <w:rsid w:val="00CB1152"/>
    <w:rsid w:val="00CB2903"/>
    <w:rsid w:val="00CB3EE7"/>
    <w:rsid w:val="00CB5F79"/>
    <w:rsid w:val="00CD11CD"/>
    <w:rsid w:val="00CD2674"/>
    <w:rsid w:val="00CD44F8"/>
    <w:rsid w:val="00CD62C9"/>
    <w:rsid w:val="00CD68AB"/>
    <w:rsid w:val="00CD6B7D"/>
    <w:rsid w:val="00CD7A54"/>
    <w:rsid w:val="00CE06EF"/>
    <w:rsid w:val="00CE2B3C"/>
    <w:rsid w:val="00CF1BC0"/>
    <w:rsid w:val="00CF394C"/>
    <w:rsid w:val="00CF395F"/>
    <w:rsid w:val="00CF3F52"/>
    <w:rsid w:val="00CF5ADB"/>
    <w:rsid w:val="00D00A09"/>
    <w:rsid w:val="00D01118"/>
    <w:rsid w:val="00D01875"/>
    <w:rsid w:val="00D02E79"/>
    <w:rsid w:val="00D07797"/>
    <w:rsid w:val="00D12B59"/>
    <w:rsid w:val="00D13794"/>
    <w:rsid w:val="00D16AB0"/>
    <w:rsid w:val="00D23A29"/>
    <w:rsid w:val="00D30D3E"/>
    <w:rsid w:val="00D326B0"/>
    <w:rsid w:val="00D34662"/>
    <w:rsid w:val="00D35DAD"/>
    <w:rsid w:val="00D37197"/>
    <w:rsid w:val="00D438A5"/>
    <w:rsid w:val="00D51A8E"/>
    <w:rsid w:val="00D53A2E"/>
    <w:rsid w:val="00D54C83"/>
    <w:rsid w:val="00D56DF6"/>
    <w:rsid w:val="00D6017D"/>
    <w:rsid w:val="00D61353"/>
    <w:rsid w:val="00D6145E"/>
    <w:rsid w:val="00D67540"/>
    <w:rsid w:val="00D704A0"/>
    <w:rsid w:val="00D75194"/>
    <w:rsid w:val="00D75E98"/>
    <w:rsid w:val="00D81403"/>
    <w:rsid w:val="00D82381"/>
    <w:rsid w:val="00D82759"/>
    <w:rsid w:val="00D8378D"/>
    <w:rsid w:val="00D87B08"/>
    <w:rsid w:val="00D87BB9"/>
    <w:rsid w:val="00D9034D"/>
    <w:rsid w:val="00D908D7"/>
    <w:rsid w:val="00D92523"/>
    <w:rsid w:val="00D9373D"/>
    <w:rsid w:val="00DA416C"/>
    <w:rsid w:val="00DB0051"/>
    <w:rsid w:val="00DB3F80"/>
    <w:rsid w:val="00DB56B1"/>
    <w:rsid w:val="00DB7759"/>
    <w:rsid w:val="00DC06D0"/>
    <w:rsid w:val="00DC09B9"/>
    <w:rsid w:val="00DC5094"/>
    <w:rsid w:val="00DC5AA9"/>
    <w:rsid w:val="00DD1F78"/>
    <w:rsid w:val="00DD2877"/>
    <w:rsid w:val="00DD3294"/>
    <w:rsid w:val="00DD3B0D"/>
    <w:rsid w:val="00DD6222"/>
    <w:rsid w:val="00DE1EB4"/>
    <w:rsid w:val="00DE1ED2"/>
    <w:rsid w:val="00DE3448"/>
    <w:rsid w:val="00DE5273"/>
    <w:rsid w:val="00DE586B"/>
    <w:rsid w:val="00DF14A8"/>
    <w:rsid w:val="00DF20A2"/>
    <w:rsid w:val="00DF40C8"/>
    <w:rsid w:val="00DF4B21"/>
    <w:rsid w:val="00DF5619"/>
    <w:rsid w:val="00DF6FBD"/>
    <w:rsid w:val="00E14A7E"/>
    <w:rsid w:val="00E1775B"/>
    <w:rsid w:val="00E178A3"/>
    <w:rsid w:val="00E2014E"/>
    <w:rsid w:val="00E2082C"/>
    <w:rsid w:val="00E2709C"/>
    <w:rsid w:val="00E3084C"/>
    <w:rsid w:val="00E30D33"/>
    <w:rsid w:val="00E31266"/>
    <w:rsid w:val="00E316C0"/>
    <w:rsid w:val="00E34663"/>
    <w:rsid w:val="00E34DC0"/>
    <w:rsid w:val="00E37B5A"/>
    <w:rsid w:val="00E41E8F"/>
    <w:rsid w:val="00E43108"/>
    <w:rsid w:val="00E4490A"/>
    <w:rsid w:val="00E544B4"/>
    <w:rsid w:val="00E60BC1"/>
    <w:rsid w:val="00E61002"/>
    <w:rsid w:val="00E70B5E"/>
    <w:rsid w:val="00E73D08"/>
    <w:rsid w:val="00E75246"/>
    <w:rsid w:val="00E75E7F"/>
    <w:rsid w:val="00E81DA5"/>
    <w:rsid w:val="00E81E8D"/>
    <w:rsid w:val="00E86E0E"/>
    <w:rsid w:val="00E9058C"/>
    <w:rsid w:val="00E97E24"/>
    <w:rsid w:val="00EA2D5C"/>
    <w:rsid w:val="00EA4C1D"/>
    <w:rsid w:val="00EA57CE"/>
    <w:rsid w:val="00EA7C1B"/>
    <w:rsid w:val="00EB4E60"/>
    <w:rsid w:val="00EB5802"/>
    <w:rsid w:val="00EB68F2"/>
    <w:rsid w:val="00EB747C"/>
    <w:rsid w:val="00EB7F99"/>
    <w:rsid w:val="00EC0C25"/>
    <w:rsid w:val="00EC116C"/>
    <w:rsid w:val="00EC1512"/>
    <w:rsid w:val="00EC1A77"/>
    <w:rsid w:val="00EC5012"/>
    <w:rsid w:val="00EC5592"/>
    <w:rsid w:val="00EC63B2"/>
    <w:rsid w:val="00ED03A1"/>
    <w:rsid w:val="00ED1DF8"/>
    <w:rsid w:val="00EE7F78"/>
    <w:rsid w:val="00EF43BE"/>
    <w:rsid w:val="00F01FB8"/>
    <w:rsid w:val="00F02BE6"/>
    <w:rsid w:val="00F05D0A"/>
    <w:rsid w:val="00F0646B"/>
    <w:rsid w:val="00F1236D"/>
    <w:rsid w:val="00F13B6D"/>
    <w:rsid w:val="00F15C47"/>
    <w:rsid w:val="00F20EAD"/>
    <w:rsid w:val="00F240EE"/>
    <w:rsid w:val="00F31876"/>
    <w:rsid w:val="00F323FE"/>
    <w:rsid w:val="00F350DE"/>
    <w:rsid w:val="00F3647D"/>
    <w:rsid w:val="00F4233E"/>
    <w:rsid w:val="00F44104"/>
    <w:rsid w:val="00F45F63"/>
    <w:rsid w:val="00F51A69"/>
    <w:rsid w:val="00F54749"/>
    <w:rsid w:val="00F601B0"/>
    <w:rsid w:val="00F62A52"/>
    <w:rsid w:val="00F6328A"/>
    <w:rsid w:val="00F63B83"/>
    <w:rsid w:val="00F7653E"/>
    <w:rsid w:val="00F85024"/>
    <w:rsid w:val="00F86213"/>
    <w:rsid w:val="00F8728C"/>
    <w:rsid w:val="00F87EB1"/>
    <w:rsid w:val="00F91F6C"/>
    <w:rsid w:val="00F93023"/>
    <w:rsid w:val="00F940AC"/>
    <w:rsid w:val="00FA3F69"/>
    <w:rsid w:val="00FA7E32"/>
    <w:rsid w:val="00FB1124"/>
    <w:rsid w:val="00FB1BB8"/>
    <w:rsid w:val="00FB461A"/>
    <w:rsid w:val="00FB56F0"/>
    <w:rsid w:val="00FC0E38"/>
    <w:rsid w:val="00FC667C"/>
    <w:rsid w:val="00FC7A5F"/>
    <w:rsid w:val="00FC7B85"/>
    <w:rsid w:val="00FD045F"/>
    <w:rsid w:val="00FD0493"/>
    <w:rsid w:val="00FD1EA0"/>
    <w:rsid w:val="00FD4FCE"/>
    <w:rsid w:val="00FD78D5"/>
    <w:rsid w:val="00FE1F1A"/>
    <w:rsid w:val="00FE2E1C"/>
    <w:rsid w:val="00FE3C7D"/>
    <w:rsid w:val="00FE6180"/>
    <w:rsid w:val="00FE78D2"/>
    <w:rsid w:val="00FF0C4E"/>
    <w:rsid w:val="00FF476C"/>
    <w:rsid w:val="00FF535B"/>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ru-RU"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locked="1"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745"/>
    <w:pPr>
      <w:spacing w:after="200" w:line="276" w:lineRule="auto"/>
    </w:pPr>
    <w:rPr>
      <w:sz w:val="22"/>
      <w:szCs w:val="22"/>
      <w:lang w:val="en-US"/>
    </w:rPr>
  </w:style>
  <w:style w:type="paragraph" w:styleId="1">
    <w:name w:val="heading 1"/>
    <w:basedOn w:val="a"/>
    <w:next w:val="a"/>
    <w:link w:val="10"/>
    <w:qFormat/>
    <w:rsid w:val="008E78E3"/>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581D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81D8D"/>
    <w:pPr>
      <w:keepNext/>
      <w:keepLines/>
      <w:spacing w:before="200" w:after="0"/>
      <w:outlineLvl w:val="2"/>
    </w:pPr>
    <w:rPr>
      <w:rFonts w:ascii="Cambria" w:hAnsi="Cambria"/>
      <w:b/>
      <w:bCs/>
      <w:color w:val="4F81BD"/>
    </w:rPr>
  </w:style>
  <w:style w:type="paragraph" w:styleId="4">
    <w:name w:val="heading 4"/>
    <w:basedOn w:val="a"/>
    <w:next w:val="a"/>
    <w:link w:val="40"/>
    <w:qFormat/>
    <w:rsid w:val="00C44466"/>
    <w:pPr>
      <w:keepNext/>
      <w:keepLines/>
      <w:spacing w:before="200" w:after="0"/>
      <w:outlineLvl w:val="3"/>
    </w:pPr>
    <w:rPr>
      <w:rFonts w:ascii="Cambria" w:hAnsi="Cambria"/>
      <w:b/>
      <w:bCs/>
      <w:i/>
      <w:iCs/>
      <w:color w:val="4F81BD"/>
    </w:rPr>
  </w:style>
  <w:style w:type="paragraph" w:styleId="5">
    <w:name w:val="heading 5"/>
    <w:basedOn w:val="a"/>
    <w:next w:val="a"/>
    <w:link w:val="50"/>
    <w:qFormat/>
    <w:rsid w:val="00F02BE6"/>
    <w:pPr>
      <w:keepNext/>
      <w:keepLines/>
      <w:spacing w:before="200" w:after="0"/>
      <w:outlineLvl w:val="4"/>
    </w:pPr>
    <w:rPr>
      <w:rFonts w:ascii="Cambria" w:hAnsi="Cambria"/>
      <w:color w:val="243F60"/>
    </w:rPr>
  </w:style>
  <w:style w:type="paragraph" w:styleId="6">
    <w:name w:val="heading 6"/>
    <w:basedOn w:val="a"/>
    <w:next w:val="a"/>
    <w:link w:val="60"/>
    <w:qFormat/>
    <w:rsid w:val="0042389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nseEmphasis1">
    <w:name w:val="Intense Emphasis1"/>
    <w:basedOn w:val="a0"/>
    <w:rsid w:val="00581D8D"/>
    <w:rPr>
      <w:rFonts w:cs="Times New Roman"/>
      <w:b/>
      <w:bCs/>
      <w:i/>
      <w:iCs/>
      <w:color w:val="4F81BD"/>
    </w:rPr>
  </w:style>
  <w:style w:type="character" w:customStyle="1" w:styleId="20">
    <w:name w:val="Заголовок 2 Знак"/>
    <w:basedOn w:val="a0"/>
    <w:link w:val="2"/>
    <w:locked/>
    <w:rsid w:val="00581D8D"/>
    <w:rPr>
      <w:rFonts w:ascii="Cambria" w:eastAsia="PMingLiU" w:hAnsi="Cambria" w:cs="Times New Roman"/>
      <w:b/>
      <w:bCs/>
      <w:color w:val="4F81BD"/>
      <w:sz w:val="26"/>
      <w:szCs w:val="26"/>
      <w:lang w:val="en-US"/>
    </w:rPr>
  </w:style>
  <w:style w:type="character" w:customStyle="1" w:styleId="30">
    <w:name w:val="Заголовок 3 Знак"/>
    <w:basedOn w:val="a0"/>
    <w:link w:val="3"/>
    <w:locked/>
    <w:rsid w:val="00581D8D"/>
    <w:rPr>
      <w:rFonts w:ascii="Cambria" w:eastAsia="PMingLiU" w:hAnsi="Cambria" w:cs="Times New Roman"/>
      <w:b/>
      <w:bCs/>
      <w:color w:val="4F81BD"/>
      <w:lang w:val="en-US"/>
    </w:rPr>
  </w:style>
  <w:style w:type="paragraph" w:customStyle="1" w:styleId="ListParagraph1">
    <w:name w:val="List Paragraph1"/>
    <w:basedOn w:val="a"/>
    <w:rsid w:val="007B10C1"/>
    <w:pPr>
      <w:ind w:left="720"/>
    </w:pPr>
  </w:style>
  <w:style w:type="paragraph" w:styleId="a3">
    <w:name w:val="header"/>
    <w:basedOn w:val="a"/>
    <w:link w:val="a4"/>
    <w:semiHidden/>
    <w:rsid w:val="00371193"/>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371193"/>
    <w:rPr>
      <w:rFonts w:cs="Times New Roman"/>
      <w:lang w:val="en-US"/>
    </w:rPr>
  </w:style>
  <w:style w:type="paragraph" w:styleId="a5">
    <w:name w:val="footer"/>
    <w:basedOn w:val="a"/>
    <w:link w:val="a6"/>
    <w:uiPriority w:val="99"/>
    <w:rsid w:val="0037119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71193"/>
    <w:rPr>
      <w:rFonts w:cs="Times New Roman"/>
      <w:lang w:val="en-US"/>
    </w:rPr>
  </w:style>
  <w:style w:type="paragraph" w:styleId="a7">
    <w:name w:val="Balloon Text"/>
    <w:basedOn w:val="a"/>
    <w:link w:val="a8"/>
    <w:semiHidden/>
    <w:rsid w:val="00371193"/>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371193"/>
    <w:rPr>
      <w:rFonts w:ascii="Tahoma" w:hAnsi="Tahoma" w:cs="Tahoma"/>
      <w:sz w:val="16"/>
      <w:szCs w:val="16"/>
      <w:lang w:val="en-US"/>
    </w:rPr>
  </w:style>
  <w:style w:type="character" w:styleId="a9">
    <w:name w:val="Hyperlink"/>
    <w:basedOn w:val="a0"/>
    <w:rsid w:val="00371193"/>
    <w:rPr>
      <w:rFonts w:cs="Times New Roman"/>
      <w:color w:val="0000FF"/>
      <w:u w:val="single"/>
    </w:rPr>
  </w:style>
  <w:style w:type="character" w:customStyle="1" w:styleId="40">
    <w:name w:val="Заголовок 4 Знак"/>
    <w:basedOn w:val="a0"/>
    <w:link w:val="4"/>
    <w:locked/>
    <w:rsid w:val="00C44466"/>
    <w:rPr>
      <w:rFonts w:ascii="Cambria" w:eastAsia="PMingLiU" w:hAnsi="Cambria" w:cs="Times New Roman"/>
      <w:b/>
      <w:bCs/>
      <w:i/>
      <w:iCs/>
      <w:color w:val="4F81BD"/>
      <w:lang w:val="en-US"/>
    </w:rPr>
  </w:style>
  <w:style w:type="character" w:customStyle="1" w:styleId="50">
    <w:name w:val="Заголовок 5 Знак"/>
    <w:basedOn w:val="a0"/>
    <w:link w:val="5"/>
    <w:locked/>
    <w:rsid w:val="00F02BE6"/>
    <w:rPr>
      <w:rFonts w:ascii="Cambria" w:eastAsia="PMingLiU" w:hAnsi="Cambria" w:cs="Times New Roman"/>
      <w:color w:val="243F60"/>
      <w:lang w:val="en-US"/>
    </w:rPr>
  </w:style>
  <w:style w:type="character" w:customStyle="1" w:styleId="yiv1911304600apple-style-span">
    <w:name w:val="yiv1911304600apple-style-span"/>
    <w:basedOn w:val="a0"/>
    <w:rsid w:val="009C3C4B"/>
    <w:rPr>
      <w:rFonts w:cs="Times New Roman"/>
    </w:rPr>
  </w:style>
  <w:style w:type="character" w:customStyle="1" w:styleId="60">
    <w:name w:val="Заголовок 6 Знак"/>
    <w:basedOn w:val="a0"/>
    <w:link w:val="6"/>
    <w:locked/>
    <w:rsid w:val="0042389F"/>
    <w:rPr>
      <w:rFonts w:ascii="Cambria" w:eastAsia="PMingLiU" w:hAnsi="Cambria" w:cs="Times New Roman"/>
      <w:i/>
      <w:iCs/>
      <w:color w:val="243F60"/>
      <w:lang w:val="en-US"/>
    </w:rPr>
  </w:style>
  <w:style w:type="character" w:customStyle="1" w:styleId="10">
    <w:name w:val="Заголовок 1 Знак"/>
    <w:basedOn w:val="a0"/>
    <w:link w:val="1"/>
    <w:locked/>
    <w:rsid w:val="008E78E3"/>
    <w:rPr>
      <w:rFonts w:ascii="Cambria" w:eastAsia="PMingLiU" w:hAnsi="Cambria" w:cs="Times New Roman"/>
      <w:b/>
      <w:bCs/>
      <w:color w:val="365F91"/>
      <w:sz w:val="28"/>
      <w:szCs w:val="28"/>
      <w:lang w:val="en-US"/>
    </w:rPr>
  </w:style>
  <w:style w:type="character" w:customStyle="1" w:styleId="at1">
    <w:name w:val="a__t1"/>
    <w:basedOn w:val="a0"/>
    <w:rsid w:val="00E30D33"/>
    <w:rPr>
      <w:rFonts w:cs="Times New Roman"/>
    </w:rPr>
  </w:style>
  <w:style w:type="character" w:customStyle="1" w:styleId="at7">
    <w:name w:val="a__t7"/>
    <w:basedOn w:val="a0"/>
    <w:rsid w:val="00E30D33"/>
    <w:rPr>
      <w:rFonts w:cs="Times New Roman"/>
    </w:rPr>
  </w:style>
  <w:style w:type="character" w:customStyle="1" w:styleId="at9">
    <w:name w:val="a__t9"/>
    <w:basedOn w:val="a0"/>
    <w:rsid w:val="00767881"/>
    <w:rPr>
      <w:rFonts w:cs="Times New Roman"/>
    </w:rPr>
  </w:style>
  <w:style w:type="paragraph" w:customStyle="1" w:styleId="Default">
    <w:name w:val="Default"/>
    <w:rsid w:val="008C5445"/>
    <w:pPr>
      <w:autoSpaceDE w:val="0"/>
      <w:autoSpaceDN w:val="0"/>
      <w:adjustRightInd w:val="0"/>
    </w:pPr>
    <w:rPr>
      <w:rFonts w:ascii="Arial" w:hAnsi="Arial" w:cs="Arial"/>
      <w:color w:val="000000"/>
      <w:sz w:val="24"/>
      <w:szCs w:val="24"/>
    </w:rPr>
  </w:style>
  <w:style w:type="character" w:styleId="aa">
    <w:name w:val="page number"/>
    <w:basedOn w:val="a0"/>
    <w:rsid w:val="00975297"/>
    <w:rPr>
      <w:rFonts w:cs="Times New Roman"/>
    </w:rPr>
  </w:style>
  <w:style w:type="paragraph" w:styleId="ab">
    <w:name w:val="footnote text"/>
    <w:basedOn w:val="a"/>
    <w:link w:val="ac"/>
    <w:semiHidden/>
    <w:rsid w:val="00E75E7F"/>
    <w:rPr>
      <w:sz w:val="20"/>
      <w:szCs w:val="20"/>
    </w:rPr>
  </w:style>
  <w:style w:type="character" w:styleId="ad">
    <w:name w:val="footnote reference"/>
    <w:basedOn w:val="a0"/>
    <w:semiHidden/>
    <w:rsid w:val="00E75E7F"/>
    <w:rPr>
      <w:rFonts w:cs="Times New Roman"/>
      <w:vertAlign w:val="superscript"/>
    </w:rPr>
  </w:style>
  <w:style w:type="character" w:customStyle="1" w:styleId="ac">
    <w:name w:val="Текст сноски Знак"/>
    <w:link w:val="ab"/>
    <w:locked/>
    <w:rsid w:val="00F15C47"/>
    <w:rPr>
      <w:rFonts w:ascii="Calibri" w:eastAsia="PMingLiU" w:hAnsi="Calibri"/>
      <w:lang w:val="en-US" w:eastAsia="zh-TW"/>
    </w:rPr>
  </w:style>
  <w:style w:type="character" w:customStyle="1" w:styleId="apple-style-span">
    <w:name w:val="apple-style-span"/>
    <w:basedOn w:val="a0"/>
    <w:rsid w:val="00EA4C1D"/>
    <w:rPr>
      <w:rFonts w:cs="Times New Roman"/>
    </w:rPr>
  </w:style>
  <w:style w:type="character" w:styleId="ae">
    <w:name w:val="Strong"/>
    <w:basedOn w:val="a0"/>
    <w:uiPriority w:val="22"/>
    <w:qFormat/>
    <w:locked/>
    <w:rsid w:val="00EA4C1D"/>
    <w:rPr>
      <w:rFonts w:cs="Times New Roman"/>
      <w:b/>
      <w:bCs/>
    </w:rPr>
  </w:style>
  <w:style w:type="character" w:customStyle="1" w:styleId="apple-converted-space">
    <w:name w:val="apple-converted-space"/>
    <w:basedOn w:val="a0"/>
    <w:rsid w:val="003C0CBC"/>
    <w:rPr>
      <w:rFonts w:cs="Times New Roman"/>
    </w:rPr>
  </w:style>
  <w:style w:type="character" w:styleId="af">
    <w:name w:val="Emphasis"/>
    <w:basedOn w:val="a0"/>
    <w:qFormat/>
    <w:locked/>
    <w:rsid w:val="005C50AF"/>
    <w:rPr>
      <w:rFonts w:cs="Times New Roman"/>
      <w:i/>
      <w:iCs/>
    </w:rPr>
  </w:style>
  <w:style w:type="paragraph" w:styleId="af0">
    <w:name w:val="Normal (Web)"/>
    <w:basedOn w:val="a"/>
    <w:uiPriority w:val="99"/>
    <w:rsid w:val="005C50AF"/>
    <w:pPr>
      <w:spacing w:before="100" w:beforeAutospacing="1" w:after="100" w:afterAutospacing="1" w:line="240" w:lineRule="auto"/>
    </w:pPr>
    <w:rPr>
      <w:rFonts w:ascii="Times New Roman" w:hAnsi="Times New Roman"/>
      <w:sz w:val="24"/>
      <w:szCs w:val="24"/>
      <w:lang w:val="ru-RU"/>
    </w:rPr>
  </w:style>
  <w:style w:type="character" w:customStyle="1" w:styleId="b1">
    <w:name w:val="b1"/>
    <w:basedOn w:val="a0"/>
    <w:rsid w:val="005C50AF"/>
    <w:rPr>
      <w:rFonts w:cs="Times New Roman"/>
      <w:b/>
      <w:bCs/>
    </w:rPr>
  </w:style>
  <w:style w:type="character" w:styleId="af1">
    <w:name w:val="FollowedHyperlink"/>
    <w:basedOn w:val="a0"/>
    <w:rsid w:val="007E654D"/>
    <w:rPr>
      <w:color w:val="800080"/>
      <w:u w:val="single"/>
    </w:rPr>
  </w:style>
  <w:style w:type="character" w:styleId="af2">
    <w:name w:val="annotation reference"/>
    <w:basedOn w:val="a0"/>
    <w:semiHidden/>
    <w:rsid w:val="007E654D"/>
    <w:rPr>
      <w:sz w:val="16"/>
      <w:szCs w:val="16"/>
    </w:rPr>
  </w:style>
  <w:style w:type="paragraph" w:styleId="af3">
    <w:name w:val="annotation text"/>
    <w:basedOn w:val="a"/>
    <w:semiHidden/>
    <w:rsid w:val="007E654D"/>
    <w:rPr>
      <w:sz w:val="20"/>
      <w:szCs w:val="20"/>
    </w:rPr>
  </w:style>
  <w:style w:type="paragraph" w:styleId="af4">
    <w:name w:val="annotation subject"/>
    <w:basedOn w:val="af3"/>
    <w:next w:val="af3"/>
    <w:semiHidden/>
    <w:rsid w:val="007E654D"/>
    <w:rPr>
      <w:b/>
      <w:bCs/>
    </w:rPr>
  </w:style>
  <w:style w:type="paragraph" w:styleId="af5">
    <w:name w:val="List Paragraph"/>
    <w:basedOn w:val="a"/>
    <w:uiPriority w:val="34"/>
    <w:qFormat/>
    <w:rsid w:val="00EC1A77"/>
    <w:pPr>
      <w:spacing w:after="0" w:line="240" w:lineRule="auto"/>
      <w:ind w:left="720"/>
    </w:pPr>
    <w:rPr>
      <w:rFonts w:eastAsia="Times New Roman"/>
      <w:lang w:val="ru-RU"/>
    </w:rPr>
  </w:style>
  <w:style w:type="paragraph" w:styleId="af6">
    <w:name w:val="Title"/>
    <w:basedOn w:val="a"/>
    <w:next w:val="a"/>
    <w:link w:val="af7"/>
    <w:qFormat/>
    <w:locked/>
    <w:rsid w:val="001E23FD"/>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E23FD"/>
    <w:rPr>
      <w:rFonts w:ascii="Cambria" w:eastAsia="PMingLiU" w:hAnsi="Cambria"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100"/>
      <w:marBottom w:val="10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100"/>
      <w:marBottom w:val="10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single" w:sz="6" w:space="3" w:color="CCCCCC"/>
                    <w:bottom w:val="none" w:sz="0" w:space="0" w:color="auto"/>
                    <w:right w:val="single" w:sz="6" w:space="3" w:color="CCCCCC"/>
                  </w:divBdr>
                  <w:divsChild>
                    <w:div w:id="11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
    <w:div w:id="184904175">
      <w:bodyDiv w:val="1"/>
      <w:marLeft w:val="0"/>
      <w:marRight w:val="0"/>
      <w:marTop w:val="0"/>
      <w:marBottom w:val="0"/>
      <w:divBdr>
        <w:top w:val="none" w:sz="0" w:space="0" w:color="auto"/>
        <w:left w:val="none" w:sz="0" w:space="0" w:color="auto"/>
        <w:bottom w:val="none" w:sz="0" w:space="0" w:color="auto"/>
        <w:right w:val="none" w:sz="0" w:space="0" w:color="auto"/>
      </w:divBdr>
      <w:divsChild>
        <w:div w:id="851066897">
          <w:marLeft w:val="0"/>
          <w:marRight w:val="0"/>
          <w:marTop w:val="0"/>
          <w:marBottom w:val="0"/>
          <w:divBdr>
            <w:top w:val="none" w:sz="0" w:space="0" w:color="auto"/>
            <w:left w:val="none" w:sz="0" w:space="0" w:color="auto"/>
            <w:bottom w:val="none" w:sz="0" w:space="0" w:color="auto"/>
            <w:right w:val="none" w:sz="0" w:space="0" w:color="auto"/>
          </w:divBdr>
        </w:div>
        <w:div w:id="1499617757">
          <w:marLeft w:val="0"/>
          <w:marRight w:val="0"/>
          <w:marTop w:val="0"/>
          <w:marBottom w:val="0"/>
          <w:divBdr>
            <w:top w:val="none" w:sz="0" w:space="0" w:color="auto"/>
            <w:left w:val="none" w:sz="0" w:space="0" w:color="auto"/>
            <w:bottom w:val="none" w:sz="0" w:space="0" w:color="auto"/>
            <w:right w:val="none" w:sz="0" w:space="0" w:color="auto"/>
          </w:divBdr>
        </w:div>
        <w:div w:id="350761744">
          <w:marLeft w:val="0"/>
          <w:marRight w:val="0"/>
          <w:marTop w:val="0"/>
          <w:marBottom w:val="0"/>
          <w:divBdr>
            <w:top w:val="none" w:sz="0" w:space="0" w:color="auto"/>
            <w:left w:val="none" w:sz="0" w:space="0" w:color="auto"/>
            <w:bottom w:val="none" w:sz="0" w:space="0" w:color="auto"/>
            <w:right w:val="none" w:sz="0" w:space="0" w:color="auto"/>
          </w:divBdr>
        </w:div>
        <w:div w:id="2138444937">
          <w:marLeft w:val="0"/>
          <w:marRight w:val="0"/>
          <w:marTop w:val="0"/>
          <w:marBottom w:val="0"/>
          <w:divBdr>
            <w:top w:val="none" w:sz="0" w:space="0" w:color="auto"/>
            <w:left w:val="none" w:sz="0" w:space="0" w:color="auto"/>
            <w:bottom w:val="none" w:sz="0" w:space="0" w:color="auto"/>
            <w:right w:val="none" w:sz="0" w:space="0" w:color="auto"/>
          </w:divBdr>
        </w:div>
        <w:div w:id="1207839067">
          <w:marLeft w:val="0"/>
          <w:marRight w:val="0"/>
          <w:marTop w:val="0"/>
          <w:marBottom w:val="0"/>
          <w:divBdr>
            <w:top w:val="none" w:sz="0" w:space="0" w:color="auto"/>
            <w:left w:val="none" w:sz="0" w:space="0" w:color="auto"/>
            <w:bottom w:val="none" w:sz="0" w:space="0" w:color="auto"/>
            <w:right w:val="none" w:sz="0" w:space="0" w:color="auto"/>
          </w:divBdr>
        </w:div>
      </w:divsChild>
    </w:div>
    <w:div w:id="496576417">
      <w:bodyDiv w:val="1"/>
      <w:marLeft w:val="0"/>
      <w:marRight w:val="0"/>
      <w:marTop w:val="0"/>
      <w:marBottom w:val="0"/>
      <w:divBdr>
        <w:top w:val="none" w:sz="0" w:space="0" w:color="auto"/>
        <w:left w:val="none" w:sz="0" w:space="0" w:color="auto"/>
        <w:bottom w:val="none" w:sz="0" w:space="0" w:color="auto"/>
        <w:right w:val="none" w:sz="0" w:space="0" w:color="auto"/>
      </w:divBdr>
    </w:div>
    <w:div w:id="762839178">
      <w:bodyDiv w:val="1"/>
      <w:marLeft w:val="0"/>
      <w:marRight w:val="0"/>
      <w:marTop w:val="0"/>
      <w:marBottom w:val="0"/>
      <w:divBdr>
        <w:top w:val="none" w:sz="0" w:space="0" w:color="auto"/>
        <w:left w:val="none" w:sz="0" w:space="0" w:color="auto"/>
        <w:bottom w:val="none" w:sz="0" w:space="0" w:color="auto"/>
        <w:right w:val="none" w:sz="0" w:space="0" w:color="auto"/>
      </w:divBdr>
    </w:div>
    <w:div w:id="1017662569">
      <w:bodyDiv w:val="1"/>
      <w:marLeft w:val="0"/>
      <w:marRight w:val="0"/>
      <w:marTop w:val="0"/>
      <w:marBottom w:val="0"/>
      <w:divBdr>
        <w:top w:val="none" w:sz="0" w:space="0" w:color="auto"/>
        <w:left w:val="none" w:sz="0" w:space="0" w:color="auto"/>
        <w:bottom w:val="none" w:sz="0" w:space="0" w:color="auto"/>
        <w:right w:val="none" w:sz="0" w:space="0" w:color="auto"/>
      </w:divBdr>
    </w:div>
    <w:div w:id="2073111698">
      <w:bodyDiv w:val="1"/>
      <w:marLeft w:val="0"/>
      <w:marRight w:val="0"/>
      <w:marTop w:val="0"/>
      <w:marBottom w:val="0"/>
      <w:divBdr>
        <w:top w:val="none" w:sz="0" w:space="0" w:color="auto"/>
        <w:left w:val="none" w:sz="0" w:space="0" w:color="auto"/>
        <w:bottom w:val="none" w:sz="0" w:space="0" w:color="auto"/>
        <w:right w:val="none" w:sz="0" w:space="0" w:color="auto"/>
      </w:divBdr>
      <w:divsChild>
        <w:div w:id="1080754628">
          <w:marLeft w:val="0"/>
          <w:marRight w:val="0"/>
          <w:marTop w:val="0"/>
          <w:marBottom w:val="0"/>
          <w:divBdr>
            <w:top w:val="none" w:sz="0" w:space="0" w:color="auto"/>
            <w:left w:val="none" w:sz="0" w:space="0" w:color="auto"/>
            <w:bottom w:val="none" w:sz="0" w:space="0" w:color="auto"/>
            <w:right w:val="none" w:sz="0" w:space="0" w:color="auto"/>
          </w:divBdr>
        </w:div>
        <w:div w:id="985738730">
          <w:marLeft w:val="0"/>
          <w:marRight w:val="0"/>
          <w:marTop w:val="0"/>
          <w:marBottom w:val="0"/>
          <w:divBdr>
            <w:top w:val="none" w:sz="0" w:space="0" w:color="auto"/>
            <w:left w:val="none" w:sz="0" w:space="0" w:color="auto"/>
            <w:bottom w:val="none" w:sz="0" w:space="0" w:color="auto"/>
            <w:right w:val="none" w:sz="0" w:space="0" w:color="auto"/>
          </w:divBdr>
        </w:div>
        <w:div w:id="797840284">
          <w:marLeft w:val="0"/>
          <w:marRight w:val="0"/>
          <w:marTop w:val="0"/>
          <w:marBottom w:val="0"/>
          <w:divBdr>
            <w:top w:val="none" w:sz="0" w:space="0" w:color="auto"/>
            <w:left w:val="none" w:sz="0" w:space="0" w:color="auto"/>
            <w:bottom w:val="none" w:sz="0" w:space="0" w:color="auto"/>
            <w:right w:val="none" w:sz="0" w:space="0" w:color="auto"/>
          </w:divBdr>
          <w:divsChild>
            <w:div w:id="1856574303">
              <w:marLeft w:val="0"/>
              <w:marRight w:val="0"/>
              <w:marTop w:val="0"/>
              <w:marBottom w:val="0"/>
              <w:divBdr>
                <w:top w:val="none" w:sz="0" w:space="0" w:color="auto"/>
                <w:left w:val="none" w:sz="0" w:space="0" w:color="auto"/>
                <w:bottom w:val="none" w:sz="0" w:space="0" w:color="auto"/>
                <w:right w:val="none" w:sz="0" w:space="0" w:color="auto"/>
              </w:divBdr>
            </w:div>
          </w:divsChild>
        </w:div>
        <w:div w:id="1359164321">
          <w:marLeft w:val="0"/>
          <w:marRight w:val="0"/>
          <w:marTop w:val="0"/>
          <w:marBottom w:val="0"/>
          <w:divBdr>
            <w:top w:val="none" w:sz="0" w:space="0" w:color="auto"/>
            <w:left w:val="none" w:sz="0" w:space="0" w:color="auto"/>
            <w:bottom w:val="none" w:sz="0" w:space="0" w:color="auto"/>
            <w:right w:val="none" w:sz="0" w:space="0" w:color="auto"/>
          </w:divBdr>
        </w:div>
        <w:div w:id="1368140257">
          <w:marLeft w:val="0"/>
          <w:marRight w:val="0"/>
          <w:marTop w:val="0"/>
          <w:marBottom w:val="0"/>
          <w:divBdr>
            <w:top w:val="none" w:sz="0" w:space="0" w:color="auto"/>
            <w:left w:val="none" w:sz="0" w:space="0" w:color="auto"/>
            <w:bottom w:val="none" w:sz="0" w:space="0" w:color="auto"/>
            <w:right w:val="none" w:sz="0" w:space="0" w:color="auto"/>
          </w:divBdr>
          <w:divsChild>
            <w:div w:id="784353057">
              <w:marLeft w:val="0"/>
              <w:marRight w:val="0"/>
              <w:marTop w:val="0"/>
              <w:marBottom w:val="0"/>
              <w:divBdr>
                <w:top w:val="none" w:sz="0" w:space="0" w:color="auto"/>
                <w:left w:val="none" w:sz="0" w:space="0" w:color="auto"/>
                <w:bottom w:val="none" w:sz="0" w:space="0" w:color="auto"/>
                <w:right w:val="none" w:sz="0" w:space="0" w:color="auto"/>
              </w:divBdr>
            </w:div>
          </w:divsChild>
        </w:div>
        <w:div w:id="751850488">
          <w:marLeft w:val="0"/>
          <w:marRight w:val="0"/>
          <w:marTop w:val="0"/>
          <w:marBottom w:val="0"/>
          <w:divBdr>
            <w:top w:val="none" w:sz="0" w:space="0" w:color="auto"/>
            <w:left w:val="none" w:sz="0" w:space="0" w:color="auto"/>
            <w:bottom w:val="none" w:sz="0" w:space="0" w:color="auto"/>
            <w:right w:val="none" w:sz="0" w:space="0" w:color="auto"/>
          </w:divBdr>
        </w:div>
        <w:div w:id="1857696231">
          <w:marLeft w:val="0"/>
          <w:marRight w:val="0"/>
          <w:marTop w:val="0"/>
          <w:marBottom w:val="0"/>
          <w:divBdr>
            <w:top w:val="none" w:sz="0" w:space="0" w:color="auto"/>
            <w:left w:val="none" w:sz="0" w:space="0" w:color="auto"/>
            <w:bottom w:val="none" w:sz="0" w:space="0" w:color="auto"/>
            <w:right w:val="none" w:sz="0" w:space="0" w:color="auto"/>
          </w:divBdr>
          <w:divsChild>
            <w:div w:id="1736388297">
              <w:marLeft w:val="0"/>
              <w:marRight w:val="0"/>
              <w:marTop w:val="0"/>
              <w:marBottom w:val="0"/>
              <w:divBdr>
                <w:top w:val="none" w:sz="0" w:space="0" w:color="auto"/>
                <w:left w:val="none" w:sz="0" w:space="0" w:color="auto"/>
                <w:bottom w:val="none" w:sz="0" w:space="0" w:color="auto"/>
                <w:right w:val="none" w:sz="0" w:space="0" w:color="auto"/>
              </w:divBdr>
            </w:div>
            <w:div w:id="1771268103">
              <w:marLeft w:val="0"/>
              <w:marRight w:val="0"/>
              <w:marTop w:val="0"/>
              <w:marBottom w:val="0"/>
              <w:divBdr>
                <w:top w:val="none" w:sz="0" w:space="0" w:color="auto"/>
                <w:left w:val="none" w:sz="0" w:space="0" w:color="auto"/>
                <w:bottom w:val="none" w:sz="0" w:space="0" w:color="auto"/>
                <w:right w:val="none" w:sz="0" w:space="0" w:color="auto"/>
              </w:divBdr>
            </w:div>
          </w:divsChild>
        </w:div>
        <w:div w:id="162399732">
          <w:marLeft w:val="0"/>
          <w:marRight w:val="0"/>
          <w:marTop w:val="0"/>
          <w:marBottom w:val="0"/>
          <w:divBdr>
            <w:top w:val="none" w:sz="0" w:space="0" w:color="auto"/>
            <w:left w:val="none" w:sz="0" w:space="0" w:color="auto"/>
            <w:bottom w:val="none" w:sz="0" w:space="0" w:color="auto"/>
            <w:right w:val="none" w:sz="0" w:space="0" w:color="auto"/>
          </w:divBdr>
        </w:div>
        <w:div w:id="1968200057">
          <w:marLeft w:val="0"/>
          <w:marRight w:val="0"/>
          <w:marTop w:val="0"/>
          <w:marBottom w:val="0"/>
          <w:divBdr>
            <w:top w:val="none" w:sz="0" w:space="0" w:color="auto"/>
            <w:left w:val="none" w:sz="0" w:space="0" w:color="auto"/>
            <w:bottom w:val="none" w:sz="0" w:space="0" w:color="auto"/>
            <w:right w:val="none" w:sz="0" w:space="0" w:color="auto"/>
          </w:divBdr>
          <w:divsChild>
            <w:div w:id="1497570973">
              <w:marLeft w:val="0"/>
              <w:marRight w:val="0"/>
              <w:marTop w:val="0"/>
              <w:marBottom w:val="0"/>
              <w:divBdr>
                <w:top w:val="none" w:sz="0" w:space="0" w:color="auto"/>
                <w:left w:val="none" w:sz="0" w:space="0" w:color="auto"/>
                <w:bottom w:val="none" w:sz="0" w:space="0" w:color="auto"/>
                <w:right w:val="none" w:sz="0" w:space="0" w:color="auto"/>
              </w:divBdr>
            </w:div>
          </w:divsChild>
        </w:div>
        <w:div w:id="527836480">
          <w:marLeft w:val="0"/>
          <w:marRight w:val="0"/>
          <w:marTop w:val="0"/>
          <w:marBottom w:val="0"/>
          <w:divBdr>
            <w:top w:val="none" w:sz="0" w:space="0" w:color="auto"/>
            <w:left w:val="none" w:sz="0" w:space="0" w:color="auto"/>
            <w:bottom w:val="none" w:sz="0" w:space="0" w:color="auto"/>
            <w:right w:val="none" w:sz="0" w:space="0" w:color="auto"/>
          </w:divBdr>
        </w:div>
        <w:div w:id="1952274365">
          <w:marLeft w:val="0"/>
          <w:marRight w:val="0"/>
          <w:marTop w:val="0"/>
          <w:marBottom w:val="0"/>
          <w:divBdr>
            <w:top w:val="none" w:sz="0" w:space="0" w:color="auto"/>
            <w:left w:val="none" w:sz="0" w:space="0" w:color="auto"/>
            <w:bottom w:val="none" w:sz="0" w:space="0" w:color="auto"/>
            <w:right w:val="none" w:sz="0" w:space="0" w:color="auto"/>
          </w:divBdr>
          <w:divsChild>
            <w:div w:id="714695910">
              <w:marLeft w:val="0"/>
              <w:marRight w:val="0"/>
              <w:marTop w:val="0"/>
              <w:marBottom w:val="0"/>
              <w:divBdr>
                <w:top w:val="none" w:sz="0" w:space="0" w:color="auto"/>
                <w:left w:val="none" w:sz="0" w:space="0" w:color="auto"/>
                <w:bottom w:val="none" w:sz="0" w:space="0" w:color="auto"/>
                <w:right w:val="none" w:sz="0" w:space="0" w:color="auto"/>
              </w:divBdr>
            </w:div>
            <w:div w:id="1735469359">
              <w:marLeft w:val="0"/>
              <w:marRight w:val="0"/>
              <w:marTop w:val="0"/>
              <w:marBottom w:val="0"/>
              <w:divBdr>
                <w:top w:val="none" w:sz="0" w:space="0" w:color="auto"/>
                <w:left w:val="none" w:sz="0" w:space="0" w:color="auto"/>
                <w:bottom w:val="none" w:sz="0" w:space="0" w:color="auto"/>
                <w:right w:val="none" w:sz="0" w:space="0" w:color="auto"/>
              </w:divBdr>
            </w:div>
          </w:divsChild>
        </w:div>
        <w:div w:id="401801998">
          <w:marLeft w:val="0"/>
          <w:marRight w:val="0"/>
          <w:marTop w:val="0"/>
          <w:marBottom w:val="0"/>
          <w:divBdr>
            <w:top w:val="none" w:sz="0" w:space="0" w:color="auto"/>
            <w:left w:val="none" w:sz="0" w:space="0" w:color="auto"/>
            <w:bottom w:val="none" w:sz="0" w:space="0" w:color="auto"/>
            <w:right w:val="none" w:sz="0" w:space="0" w:color="auto"/>
          </w:divBdr>
        </w:div>
        <w:div w:id="932401136">
          <w:marLeft w:val="0"/>
          <w:marRight w:val="0"/>
          <w:marTop w:val="0"/>
          <w:marBottom w:val="0"/>
          <w:divBdr>
            <w:top w:val="none" w:sz="0" w:space="0" w:color="auto"/>
            <w:left w:val="none" w:sz="0" w:space="0" w:color="auto"/>
            <w:bottom w:val="none" w:sz="0" w:space="0" w:color="auto"/>
            <w:right w:val="none" w:sz="0" w:space="0" w:color="auto"/>
          </w:divBdr>
          <w:divsChild>
            <w:div w:id="1223715262">
              <w:marLeft w:val="0"/>
              <w:marRight w:val="0"/>
              <w:marTop w:val="0"/>
              <w:marBottom w:val="0"/>
              <w:divBdr>
                <w:top w:val="none" w:sz="0" w:space="0" w:color="auto"/>
                <w:left w:val="none" w:sz="0" w:space="0" w:color="auto"/>
                <w:bottom w:val="none" w:sz="0" w:space="0" w:color="auto"/>
                <w:right w:val="none" w:sz="0" w:space="0" w:color="auto"/>
              </w:divBdr>
            </w:div>
          </w:divsChild>
        </w:div>
        <w:div w:id="78137913">
          <w:marLeft w:val="0"/>
          <w:marRight w:val="0"/>
          <w:marTop w:val="0"/>
          <w:marBottom w:val="0"/>
          <w:divBdr>
            <w:top w:val="none" w:sz="0" w:space="0" w:color="auto"/>
            <w:left w:val="none" w:sz="0" w:space="0" w:color="auto"/>
            <w:bottom w:val="none" w:sz="0" w:space="0" w:color="auto"/>
            <w:right w:val="none" w:sz="0" w:space="0" w:color="auto"/>
          </w:divBdr>
          <w:divsChild>
            <w:div w:id="1321688333">
              <w:marLeft w:val="0"/>
              <w:marRight w:val="0"/>
              <w:marTop w:val="0"/>
              <w:marBottom w:val="0"/>
              <w:divBdr>
                <w:top w:val="none" w:sz="0" w:space="0" w:color="auto"/>
                <w:left w:val="none" w:sz="0" w:space="0" w:color="auto"/>
                <w:bottom w:val="none" w:sz="0" w:space="0" w:color="auto"/>
                <w:right w:val="none" w:sz="0" w:space="0" w:color="auto"/>
              </w:divBdr>
            </w:div>
            <w:div w:id="1745832745">
              <w:marLeft w:val="0"/>
              <w:marRight w:val="0"/>
              <w:marTop w:val="0"/>
              <w:marBottom w:val="0"/>
              <w:divBdr>
                <w:top w:val="none" w:sz="0" w:space="0" w:color="auto"/>
                <w:left w:val="none" w:sz="0" w:space="0" w:color="auto"/>
                <w:bottom w:val="none" w:sz="0" w:space="0" w:color="auto"/>
                <w:right w:val="none" w:sz="0" w:space="0" w:color="auto"/>
              </w:divBdr>
            </w:div>
            <w:div w:id="2051998830">
              <w:marLeft w:val="0"/>
              <w:marRight w:val="0"/>
              <w:marTop w:val="0"/>
              <w:marBottom w:val="0"/>
              <w:divBdr>
                <w:top w:val="none" w:sz="0" w:space="0" w:color="auto"/>
                <w:left w:val="none" w:sz="0" w:space="0" w:color="auto"/>
                <w:bottom w:val="none" w:sz="0" w:space="0" w:color="auto"/>
                <w:right w:val="none" w:sz="0" w:space="0" w:color="auto"/>
              </w:divBdr>
            </w:div>
          </w:divsChild>
        </w:div>
        <w:div w:id="499003325">
          <w:marLeft w:val="0"/>
          <w:marRight w:val="0"/>
          <w:marTop w:val="0"/>
          <w:marBottom w:val="0"/>
          <w:divBdr>
            <w:top w:val="none" w:sz="0" w:space="0" w:color="auto"/>
            <w:left w:val="none" w:sz="0" w:space="0" w:color="auto"/>
            <w:bottom w:val="none" w:sz="0" w:space="0" w:color="auto"/>
            <w:right w:val="none" w:sz="0" w:space="0" w:color="auto"/>
          </w:divBdr>
          <w:divsChild>
            <w:div w:id="240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ru/org/hse/ce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iso/ru/iso_catalogue/catalogue_tc/catalogue_detail.htm?csnumber=432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ru/iso_catalogue/catalogue_tc/catalogue_detail.htm?csnumber=595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o.org/iso/ru/rss.xml?csnumber=43277&amp;rss=detail" TargetMode="External"/><Relationship Id="rId4" Type="http://schemas.openxmlformats.org/officeDocument/2006/relationships/settings" Target="settings.xml"/><Relationship Id="rId9" Type="http://schemas.openxmlformats.org/officeDocument/2006/relationships/hyperlink" Target="http://www.iso.org/iso/ru/standards_development/technical_committees/list_of_iso_technical_committees/iso_technical_committee.htm?commid=54631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alenovich@mail.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ransportenvironment.org/News/2011/10/European-Courts-Preliminary-Opinion-Supports-Legality-of-EU-Law-That-Curbs-Aviation-Pollution/" TargetMode="External"/><Relationship Id="rId13" Type="http://schemas.openxmlformats.org/officeDocument/2006/relationships/hyperlink" Target="http://www.vedomosti.ru/companies/news/1392522/vechnyj_ogon" TargetMode="External"/><Relationship Id="rId3" Type="http://schemas.openxmlformats.org/officeDocument/2006/relationships/hyperlink" Target="http://www.unep.org/greeneconomy/Portals/88/documents/ger/GER_summary_ru.pdf" TargetMode="External"/><Relationship Id="rId7" Type="http://schemas.openxmlformats.org/officeDocument/2006/relationships/hyperlink" Target="http://dx.doi.org/10.1787/421482436815" TargetMode="External"/><Relationship Id="rId12" Type="http://schemas.openxmlformats.org/officeDocument/2006/relationships/hyperlink" Target="http://www.vedomosti.ru/" TargetMode="External"/><Relationship Id="rId2" Type="http://schemas.openxmlformats.org/officeDocument/2006/relationships/hyperlink" Target="http://www.treasury.govt.nz/publications/media-speeches/speeches/emissionstrading" TargetMode="External"/><Relationship Id="rId1" Type="http://schemas.openxmlformats.org/officeDocument/2006/relationships/hyperlink" Target="http://www.climateinstitute.org.au" TargetMode="External"/><Relationship Id="rId6" Type="http://schemas.openxmlformats.org/officeDocument/2006/relationships/hyperlink" Target="https://fzid.uni-hohenheim.de/71978.html" TargetMode="External"/><Relationship Id="rId11" Type="http://schemas.openxmlformats.org/officeDocument/2006/relationships/hyperlink" Target="http://www.mnr.gov.ru/part/?act=more&amp;id=2993&amp;pid=1032" TargetMode="External"/><Relationship Id="rId5" Type="http://schemas.openxmlformats.org/officeDocument/2006/relationships/hyperlink" Target="http://www.iso.org/iso/ru/iso_50001_energy.pdf" TargetMode="External"/><Relationship Id="rId10" Type="http://schemas.openxmlformats.org/officeDocument/2006/relationships/hyperlink" Target="http://www.ce.nl" TargetMode="External"/><Relationship Id="rId4" Type="http://schemas.openxmlformats.org/officeDocument/2006/relationships/hyperlink" Target="http://isotc.iso.org/livelink/livelink?func=ll&amp;objId=8775273&amp;objAction=browse&amp;sort=name" TargetMode="External"/><Relationship Id="rId9" Type="http://schemas.openxmlformats.org/officeDocument/2006/relationships/hyperlink" Target="http://ictsd.org/i/news/bridgesweekly/117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6D00-47E2-4B2F-B555-1F9FDB3F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48</Pages>
  <Words>21297</Words>
  <Characters>121399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Grizli777</Company>
  <LinksUpToDate>false</LinksUpToDate>
  <CharactersWithSpaces>142412</CharactersWithSpaces>
  <SharedDoc>false</SharedDoc>
  <HLinks>
    <vt:vector size="594" baseType="variant">
      <vt:variant>
        <vt:i4>6291564</vt:i4>
      </vt:variant>
      <vt:variant>
        <vt:i4>330</vt:i4>
      </vt:variant>
      <vt:variant>
        <vt:i4>0</vt:i4>
      </vt:variant>
      <vt:variant>
        <vt:i4>5</vt:i4>
      </vt:variant>
      <vt:variant>
        <vt:lpwstr>javascript:void(0)</vt:lpwstr>
      </vt:variant>
      <vt:variant>
        <vt:lpwstr/>
      </vt:variant>
      <vt:variant>
        <vt:i4>6291564</vt:i4>
      </vt:variant>
      <vt:variant>
        <vt:i4>321</vt:i4>
      </vt:variant>
      <vt:variant>
        <vt:i4>0</vt:i4>
      </vt:variant>
      <vt:variant>
        <vt:i4>5</vt:i4>
      </vt:variant>
      <vt:variant>
        <vt:lpwstr>javascript:void(0)</vt:lpwstr>
      </vt:variant>
      <vt:variant>
        <vt:lpwstr/>
      </vt:variant>
      <vt:variant>
        <vt:i4>6291564</vt:i4>
      </vt:variant>
      <vt:variant>
        <vt:i4>312</vt:i4>
      </vt:variant>
      <vt:variant>
        <vt:i4>0</vt:i4>
      </vt:variant>
      <vt:variant>
        <vt:i4>5</vt:i4>
      </vt:variant>
      <vt:variant>
        <vt:lpwstr>javascript:void(0)</vt:lpwstr>
      </vt:variant>
      <vt:variant>
        <vt:lpwstr/>
      </vt:variant>
      <vt:variant>
        <vt:i4>6291564</vt:i4>
      </vt:variant>
      <vt:variant>
        <vt:i4>303</vt:i4>
      </vt:variant>
      <vt:variant>
        <vt:i4>0</vt:i4>
      </vt:variant>
      <vt:variant>
        <vt:i4>5</vt:i4>
      </vt:variant>
      <vt:variant>
        <vt:lpwstr>javascript:void(0)</vt:lpwstr>
      </vt:variant>
      <vt:variant>
        <vt:lpwstr/>
      </vt:variant>
      <vt:variant>
        <vt:i4>6291564</vt:i4>
      </vt:variant>
      <vt:variant>
        <vt:i4>294</vt:i4>
      </vt:variant>
      <vt:variant>
        <vt:i4>0</vt:i4>
      </vt:variant>
      <vt:variant>
        <vt:i4>5</vt:i4>
      </vt:variant>
      <vt:variant>
        <vt:lpwstr>javascript:void(0)</vt:lpwstr>
      </vt:variant>
      <vt:variant>
        <vt:lpwstr/>
      </vt:variant>
      <vt:variant>
        <vt:i4>6291564</vt:i4>
      </vt:variant>
      <vt:variant>
        <vt:i4>285</vt:i4>
      </vt:variant>
      <vt:variant>
        <vt:i4>0</vt:i4>
      </vt:variant>
      <vt:variant>
        <vt:i4>5</vt:i4>
      </vt:variant>
      <vt:variant>
        <vt:lpwstr>javascript:void(0)</vt:lpwstr>
      </vt:variant>
      <vt:variant>
        <vt:lpwstr/>
      </vt:variant>
      <vt:variant>
        <vt:i4>6291564</vt:i4>
      </vt:variant>
      <vt:variant>
        <vt:i4>276</vt:i4>
      </vt:variant>
      <vt:variant>
        <vt:i4>0</vt:i4>
      </vt:variant>
      <vt:variant>
        <vt:i4>5</vt:i4>
      </vt:variant>
      <vt:variant>
        <vt:lpwstr>javascript:void(0)</vt:lpwstr>
      </vt:variant>
      <vt:variant>
        <vt:lpwstr/>
      </vt:variant>
      <vt:variant>
        <vt:i4>6291564</vt:i4>
      </vt:variant>
      <vt:variant>
        <vt:i4>267</vt:i4>
      </vt:variant>
      <vt:variant>
        <vt:i4>0</vt:i4>
      </vt:variant>
      <vt:variant>
        <vt:i4>5</vt:i4>
      </vt:variant>
      <vt:variant>
        <vt:lpwstr>javascript:void(0)</vt:lpwstr>
      </vt:variant>
      <vt:variant>
        <vt:lpwstr/>
      </vt:variant>
      <vt:variant>
        <vt:i4>6291564</vt:i4>
      </vt:variant>
      <vt:variant>
        <vt:i4>258</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6291564</vt:i4>
      </vt:variant>
      <vt:variant>
        <vt:i4>231</vt:i4>
      </vt:variant>
      <vt:variant>
        <vt:i4>0</vt:i4>
      </vt:variant>
      <vt:variant>
        <vt:i4>5</vt:i4>
      </vt:variant>
      <vt:variant>
        <vt:lpwstr>javascript:void(0)</vt:lpwstr>
      </vt:variant>
      <vt:variant>
        <vt:lpwstr/>
      </vt:variant>
      <vt:variant>
        <vt:i4>6291564</vt:i4>
      </vt:variant>
      <vt:variant>
        <vt:i4>222</vt:i4>
      </vt:variant>
      <vt:variant>
        <vt:i4>0</vt:i4>
      </vt:variant>
      <vt:variant>
        <vt:i4>5</vt:i4>
      </vt:variant>
      <vt:variant>
        <vt:lpwstr>javascript:void(0)</vt:lpwstr>
      </vt:variant>
      <vt:variant>
        <vt:lpwstr/>
      </vt:variant>
      <vt:variant>
        <vt:i4>6291564</vt:i4>
      </vt:variant>
      <vt:variant>
        <vt:i4>213</vt:i4>
      </vt:variant>
      <vt:variant>
        <vt:i4>0</vt:i4>
      </vt:variant>
      <vt:variant>
        <vt:i4>5</vt:i4>
      </vt:variant>
      <vt:variant>
        <vt:lpwstr>javascript:void(0)</vt:lpwstr>
      </vt:variant>
      <vt:variant>
        <vt:lpwstr/>
      </vt:variant>
      <vt:variant>
        <vt:i4>6291564</vt:i4>
      </vt:variant>
      <vt:variant>
        <vt:i4>204</vt:i4>
      </vt:variant>
      <vt:variant>
        <vt:i4>0</vt:i4>
      </vt:variant>
      <vt:variant>
        <vt:i4>5</vt:i4>
      </vt:variant>
      <vt:variant>
        <vt:lpwstr>javascript:void(0)</vt:lpwstr>
      </vt:variant>
      <vt:variant>
        <vt:lpwstr/>
      </vt:variant>
      <vt:variant>
        <vt:i4>6291564</vt:i4>
      </vt:variant>
      <vt:variant>
        <vt:i4>195</vt:i4>
      </vt:variant>
      <vt:variant>
        <vt:i4>0</vt:i4>
      </vt:variant>
      <vt:variant>
        <vt:i4>5</vt:i4>
      </vt:variant>
      <vt:variant>
        <vt:lpwstr>javascript:void(0)</vt:lpwstr>
      </vt:variant>
      <vt:variant>
        <vt:lpwstr/>
      </vt:variant>
      <vt:variant>
        <vt:i4>6291564</vt:i4>
      </vt:variant>
      <vt:variant>
        <vt:i4>162</vt:i4>
      </vt:variant>
      <vt:variant>
        <vt:i4>0</vt:i4>
      </vt:variant>
      <vt:variant>
        <vt:i4>5</vt:i4>
      </vt:variant>
      <vt:variant>
        <vt:lpwstr>javascript:void(0)</vt:lpwstr>
      </vt:variant>
      <vt:variant>
        <vt:lpwstr/>
      </vt:variant>
      <vt:variant>
        <vt:i4>6291564</vt:i4>
      </vt:variant>
      <vt:variant>
        <vt:i4>153</vt:i4>
      </vt:variant>
      <vt:variant>
        <vt:i4>0</vt:i4>
      </vt:variant>
      <vt:variant>
        <vt:i4>5</vt:i4>
      </vt:variant>
      <vt:variant>
        <vt:lpwstr>javascript:void(0)</vt:lpwstr>
      </vt:variant>
      <vt:variant>
        <vt:lpwstr/>
      </vt:variant>
      <vt:variant>
        <vt:i4>6291564</vt:i4>
      </vt:variant>
      <vt:variant>
        <vt:i4>144</vt:i4>
      </vt:variant>
      <vt:variant>
        <vt:i4>0</vt:i4>
      </vt:variant>
      <vt:variant>
        <vt:i4>5</vt:i4>
      </vt:variant>
      <vt:variant>
        <vt:lpwstr>javascript:void(0)</vt:lpwstr>
      </vt:variant>
      <vt:variant>
        <vt:lpwstr/>
      </vt:variant>
      <vt:variant>
        <vt:i4>6291564</vt:i4>
      </vt:variant>
      <vt:variant>
        <vt:i4>135</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108</vt:i4>
      </vt:variant>
      <vt:variant>
        <vt:i4>0</vt:i4>
      </vt:variant>
      <vt:variant>
        <vt:i4>5</vt:i4>
      </vt:variant>
      <vt:variant>
        <vt:lpwstr>javascript:void(0)</vt:lpwstr>
      </vt:variant>
      <vt:variant>
        <vt:lpwstr/>
      </vt:variant>
      <vt:variant>
        <vt:i4>6291564</vt:i4>
      </vt:variant>
      <vt:variant>
        <vt:i4>99</vt:i4>
      </vt:variant>
      <vt:variant>
        <vt:i4>0</vt:i4>
      </vt:variant>
      <vt:variant>
        <vt:i4>5</vt:i4>
      </vt:variant>
      <vt:variant>
        <vt:lpwstr>javascript:void(0)</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262207</vt:i4>
      </vt:variant>
      <vt:variant>
        <vt:i4>9</vt:i4>
      </vt:variant>
      <vt:variant>
        <vt:i4>0</vt:i4>
      </vt:variant>
      <vt:variant>
        <vt:i4>5</vt:i4>
      </vt:variant>
      <vt:variant>
        <vt:lpwstr>http://www.iso.org/iso/ru/iso_catalogue/catalogue_tc/catalogue_detail.htm?csnumber=43280</vt:lpwstr>
      </vt:variant>
      <vt:variant>
        <vt:lpwstr/>
      </vt:variant>
      <vt:variant>
        <vt:i4>196671</vt:i4>
      </vt:variant>
      <vt:variant>
        <vt:i4>6</vt:i4>
      </vt:variant>
      <vt:variant>
        <vt:i4>0</vt:i4>
      </vt:variant>
      <vt:variant>
        <vt:i4>5</vt:i4>
      </vt:variant>
      <vt:variant>
        <vt:lpwstr>http://www.iso.org/iso/ru/iso_catalogue/catalogue_tc/catalogue_detail.htm?csnumber=59521</vt:lpwstr>
      </vt:variant>
      <vt:variant>
        <vt:lpwstr/>
      </vt:variant>
      <vt:variant>
        <vt:i4>3014716</vt:i4>
      </vt:variant>
      <vt:variant>
        <vt:i4>3</vt:i4>
      </vt:variant>
      <vt:variant>
        <vt:i4>0</vt:i4>
      </vt:variant>
      <vt:variant>
        <vt:i4>5</vt:i4>
      </vt:variant>
      <vt:variant>
        <vt:lpwstr>http://www.iso.org/iso/ru/rss.xml?csnumber=43277&amp;rss=detail</vt:lpwstr>
      </vt:variant>
      <vt:variant>
        <vt:lpwstr/>
      </vt:variant>
      <vt:variant>
        <vt:i4>1835099</vt:i4>
      </vt:variant>
      <vt:variant>
        <vt:i4>0</vt:i4>
      </vt:variant>
      <vt:variant>
        <vt:i4>0</vt:i4>
      </vt:variant>
      <vt:variant>
        <vt:i4>5</vt:i4>
      </vt:variant>
      <vt:variant>
        <vt:lpwstr>http://www.iso.org/iso/ru/standards_development/technical_committees/list_of_iso_technical_committees/iso_technical_committee.htm?commid=546318</vt:lpwstr>
      </vt:variant>
      <vt:variant>
        <vt:lpwstr/>
      </vt:variant>
      <vt:variant>
        <vt:i4>5111816</vt:i4>
      </vt:variant>
      <vt:variant>
        <vt:i4>12</vt:i4>
      </vt:variant>
      <vt:variant>
        <vt:i4>0</vt:i4>
      </vt:variant>
      <vt:variant>
        <vt:i4>5</vt:i4>
      </vt:variant>
      <vt:variant>
        <vt:lpwstr>http://www.mnr.gov.ru/part/?act=more&amp;id=2993&amp;pid=1032</vt:lpwstr>
      </vt:variant>
      <vt:variant>
        <vt:lpwstr/>
      </vt:variant>
      <vt:variant>
        <vt:i4>655451</vt:i4>
      </vt:variant>
      <vt:variant>
        <vt:i4>9</vt:i4>
      </vt:variant>
      <vt:variant>
        <vt:i4>0</vt:i4>
      </vt:variant>
      <vt:variant>
        <vt:i4>5</vt:i4>
      </vt:variant>
      <vt:variant>
        <vt:lpwstr>http://www.ce.nl/</vt:lpwstr>
      </vt:variant>
      <vt:variant>
        <vt:lpwstr/>
      </vt:variant>
      <vt:variant>
        <vt:i4>8126513</vt:i4>
      </vt:variant>
      <vt:variant>
        <vt:i4>6</vt:i4>
      </vt:variant>
      <vt:variant>
        <vt:i4>0</vt:i4>
      </vt:variant>
      <vt:variant>
        <vt:i4>5</vt:i4>
      </vt:variant>
      <vt:variant>
        <vt:lpwstr>http://www.transportenvironment.org/News/2011/10/European-Courts-Preliminary-Opinion-Supports-Legality-of-EU-Law-That-Curbs-Aviation-Pollution/</vt:lpwstr>
      </vt:variant>
      <vt:variant>
        <vt:lpwstr/>
      </vt:variant>
      <vt:variant>
        <vt:i4>8257638</vt:i4>
      </vt:variant>
      <vt:variant>
        <vt:i4>3</vt:i4>
      </vt:variant>
      <vt:variant>
        <vt:i4>0</vt:i4>
      </vt:variant>
      <vt:variant>
        <vt:i4>5</vt:i4>
      </vt:variant>
      <vt:variant>
        <vt:lpwstr>http://www.iso.org/iso/ru/iso_50001_energy.pdf</vt:lpwstr>
      </vt:variant>
      <vt:variant>
        <vt:lpwstr/>
      </vt:variant>
      <vt:variant>
        <vt:i4>7209064</vt:i4>
      </vt:variant>
      <vt:variant>
        <vt:i4>0</vt:i4>
      </vt:variant>
      <vt:variant>
        <vt:i4>0</vt:i4>
      </vt:variant>
      <vt:variant>
        <vt:i4>5</vt:i4>
      </vt:variant>
      <vt:variant>
        <vt:lpwstr>http://isotc.iso.org/livelink/livelink?func=ll&amp;objId=8775273&amp;objAction=browse&amp;sort=name</vt:lpwstr>
      </vt:variant>
      <vt:variant>
        <vt:lpwstr/>
      </vt:variant>
      <vt:variant>
        <vt:i4>2949130</vt:i4>
      </vt:variant>
      <vt:variant>
        <vt:i4>5</vt:i4>
      </vt:variant>
      <vt:variant>
        <vt:i4>0</vt:i4>
      </vt:variant>
      <vt:variant>
        <vt:i4>5</vt:i4>
      </vt:variant>
      <vt:variant>
        <vt:lpwstr>mailto:Galenovich@mail.ru</vt:lpwstr>
      </vt:variant>
      <vt:variant>
        <vt:lpwstr/>
      </vt:variant>
      <vt:variant>
        <vt:i4>4784220</vt:i4>
      </vt:variant>
      <vt:variant>
        <vt:i4>109718</vt:i4>
      </vt:variant>
      <vt:variant>
        <vt:i4>1025</vt:i4>
      </vt:variant>
      <vt:variant>
        <vt:i4>4</vt:i4>
      </vt:variant>
      <vt:variant>
        <vt:lpwstr>javascript:void(0</vt:lpwstr>
      </vt:variant>
      <vt:variant>
        <vt:lpwstr/>
      </vt:variant>
      <vt:variant>
        <vt:i4>4784220</vt:i4>
      </vt:variant>
      <vt:variant>
        <vt:i4>109884</vt:i4>
      </vt:variant>
      <vt:variant>
        <vt:i4>1026</vt:i4>
      </vt:variant>
      <vt:variant>
        <vt:i4>4</vt:i4>
      </vt:variant>
      <vt:variant>
        <vt:lpwstr>javascript:void(0</vt:lpwstr>
      </vt:variant>
      <vt:variant>
        <vt:lpwstr/>
      </vt:variant>
      <vt:variant>
        <vt:i4>4784220</vt:i4>
      </vt:variant>
      <vt:variant>
        <vt:i4>111936</vt:i4>
      </vt:variant>
      <vt:variant>
        <vt:i4>1027</vt:i4>
      </vt:variant>
      <vt:variant>
        <vt:i4>4</vt:i4>
      </vt:variant>
      <vt:variant>
        <vt:lpwstr>javascript:void(0</vt:lpwstr>
      </vt:variant>
      <vt:variant>
        <vt:lpwstr/>
      </vt:variant>
      <vt:variant>
        <vt:i4>4784220</vt:i4>
      </vt:variant>
      <vt:variant>
        <vt:i4>112102</vt:i4>
      </vt:variant>
      <vt:variant>
        <vt:i4>1028</vt:i4>
      </vt:variant>
      <vt:variant>
        <vt:i4>4</vt:i4>
      </vt:variant>
      <vt:variant>
        <vt:lpwstr>javascript:void(0</vt:lpwstr>
      </vt:variant>
      <vt:variant>
        <vt:lpwstr/>
      </vt:variant>
      <vt:variant>
        <vt:i4>4784220</vt:i4>
      </vt:variant>
      <vt:variant>
        <vt:i4>113772</vt:i4>
      </vt:variant>
      <vt:variant>
        <vt:i4>1029</vt:i4>
      </vt:variant>
      <vt:variant>
        <vt:i4>4</vt:i4>
      </vt:variant>
      <vt:variant>
        <vt:lpwstr>javascript:void(0</vt:lpwstr>
      </vt:variant>
      <vt:variant>
        <vt:lpwstr/>
      </vt:variant>
      <vt:variant>
        <vt:i4>4784220</vt:i4>
      </vt:variant>
      <vt:variant>
        <vt:i4>113938</vt:i4>
      </vt:variant>
      <vt:variant>
        <vt:i4>1030</vt:i4>
      </vt:variant>
      <vt:variant>
        <vt:i4>4</vt:i4>
      </vt:variant>
      <vt:variant>
        <vt:lpwstr>javascript:void(0</vt:lpwstr>
      </vt:variant>
      <vt:variant>
        <vt:lpwstr/>
      </vt:variant>
      <vt:variant>
        <vt:i4>4784220</vt:i4>
      </vt:variant>
      <vt:variant>
        <vt:i4>115862</vt:i4>
      </vt:variant>
      <vt:variant>
        <vt:i4>1031</vt:i4>
      </vt:variant>
      <vt:variant>
        <vt:i4>4</vt:i4>
      </vt:variant>
      <vt:variant>
        <vt:lpwstr>javascript:void(0</vt:lpwstr>
      </vt:variant>
      <vt:variant>
        <vt:lpwstr/>
      </vt:variant>
      <vt:variant>
        <vt:i4>4784220</vt:i4>
      </vt:variant>
      <vt:variant>
        <vt:i4>116028</vt:i4>
      </vt:variant>
      <vt:variant>
        <vt:i4>1032</vt:i4>
      </vt:variant>
      <vt:variant>
        <vt:i4>4</vt:i4>
      </vt:variant>
      <vt:variant>
        <vt:lpwstr>javascript:void(0</vt:lpwstr>
      </vt:variant>
      <vt:variant>
        <vt:lpwstr/>
      </vt:variant>
      <vt:variant>
        <vt:i4>4784220</vt:i4>
      </vt:variant>
      <vt:variant>
        <vt:i4>117806</vt:i4>
      </vt:variant>
      <vt:variant>
        <vt:i4>1033</vt:i4>
      </vt:variant>
      <vt:variant>
        <vt:i4>4</vt:i4>
      </vt:variant>
      <vt:variant>
        <vt:lpwstr>javascript:void(0</vt:lpwstr>
      </vt:variant>
      <vt:variant>
        <vt:lpwstr/>
      </vt:variant>
      <vt:variant>
        <vt:i4>4784220</vt:i4>
      </vt:variant>
      <vt:variant>
        <vt:i4>117972</vt:i4>
      </vt:variant>
      <vt:variant>
        <vt:i4>1034</vt:i4>
      </vt:variant>
      <vt:variant>
        <vt:i4>4</vt:i4>
      </vt:variant>
      <vt:variant>
        <vt:lpwstr>javascript:void(0</vt:lpwstr>
      </vt:variant>
      <vt:variant>
        <vt:lpwstr/>
      </vt:variant>
      <vt:variant>
        <vt:i4>4784220</vt:i4>
      </vt:variant>
      <vt:variant>
        <vt:i4>119280</vt:i4>
      </vt:variant>
      <vt:variant>
        <vt:i4>1035</vt:i4>
      </vt:variant>
      <vt:variant>
        <vt:i4>4</vt:i4>
      </vt:variant>
      <vt:variant>
        <vt:lpwstr>javascript:void(0</vt:lpwstr>
      </vt:variant>
      <vt:variant>
        <vt:lpwstr/>
      </vt:variant>
      <vt:variant>
        <vt:i4>4784220</vt:i4>
      </vt:variant>
      <vt:variant>
        <vt:i4>119446</vt:i4>
      </vt:variant>
      <vt:variant>
        <vt:i4>1036</vt:i4>
      </vt:variant>
      <vt:variant>
        <vt:i4>4</vt:i4>
      </vt:variant>
      <vt:variant>
        <vt:lpwstr>javascript:void(0</vt:lpwstr>
      </vt:variant>
      <vt:variant>
        <vt:lpwstr/>
      </vt:variant>
      <vt:variant>
        <vt:i4>4784220</vt:i4>
      </vt:variant>
      <vt:variant>
        <vt:i4>121270</vt:i4>
      </vt:variant>
      <vt:variant>
        <vt:i4>1037</vt:i4>
      </vt:variant>
      <vt:variant>
        <vt:i4>4</vt:i4>
      </vt:variant>
      <vt:variant>
        <vt:lpwstr>javascript:void(0</vt:lpwstr>
      </vt:variant>
      <vt:variant>
        <vt:lpwstr/>
      </vt:variant>
      <vt:variant>
        <vt:i4>4784220</vt:i4>
      </vt:variant>
      <vt:variant>
        <vt:i4>121436</vt:i4>
      </vt:variant>
      <vt:variant>
        <vt:i4>1038</vt:i4>
      </vt:variant>
      <vt:variant>
        <vt:i4>4</vt:i4>
      </vt:variant>
      <vt:variant>
        <vt:lpwstr>javascript:void(0</vt:lpwstr>
      </vt:variant>
      <vt:variant>
        <vt:lpwstr/>
      </vt:variant>
      <vt:variant>
        <vt:i4>4784220</vt:i4>
      </vt:variant>
      <vt:variant>
        <vt:i4>122536</vt:i4>
      </vt:variant>
      <vt:variant>
        <vt:i4>1039</vt:i4>
      </vt:variant>
      <vt:variant>
        <vt:i4>4</vt:i4>
      </vt:variant>
      <vt:variant>
        <vt:lpwstr>javascript:void(0</vt:lpwstr>
      </vt:variant>
      <vt:variant>
        <vt:lpwstr/>
      </vt:variant>
      <vt:variant>
        <vt:i4>4784220</vt:i4>
      </vt:variant>
      <vt:variant>
        <vt:i4>122702</vt:i4>
      </vt:variant>
      <vt:variant>
        <vt:i4>1040</vt:i4>
      </vt:variant>
      <vt:variant>
        <vt:i4>4</vt:i4>
      </vt:variant>
      <vt:variant>
        <vt:lpwstr>javascript:void(0</vt:lpwstr>
      </vt:variant>
      <vt:variant>
        <vt:lpwstr/>
      </vt:variant>
      <vt:variant>
        <vt:i4>4784220</vt:i4>
      </vt:variant>
      <vt:variant>
        <vt:i4>124080</vt:i4>
      </vt:variant>
      <vt:variant>
        <vt:i4>1041</vt:i4>
      </vt:variant>
      <vt:variant>
        <vt:i4>4</vt:i4>
      </vt:variant>
      <vt:variant>
        <vt:lpwstr>javascript:void(0</vt:lpwstr>
      </vt:variant>
      <vt:variant>
        <vt:lpwstr/>
      </vt:variant>
      <vt:variant>
        <vt:i4>4784220</vt:i4>
      </vt:variant>
      <vt:variant>
        <vt:i4>124246</vt:i4>
      </vt:variant>
      <vt:variant>
        <vt:i4>1042</vt:i4>
      </vt:variant>
      <vt:variant>
        <vt:i4>4</vt:i4>
      </vt:variant>
      <vt:variant>
        <vt:lpwstr>javascript:void(0</vt:lpwstr>
      </vt:variant>
      <vt:variant>
        <vt:lpwstr/>
      </vt:variant>
      <vt:variant>
        <vt:i4>4784220</vt:i4>
      </vt:variant>
      <vt:variant>
        <vt:i4>125858</vt:i4>
      </vt:variant>
      <vt:variant>
        <vt:i4>1043</vt:i4>
      </vt:variant>
      <vt:variant>
        <vt:i4>4</vt:i4>
      </vt:variant>
      <vt:variant>
        <vt:lpwstr>javascript:void(0</vt:lpwstr>
      </vt:variant>
      <vt:variant>
        <vt:lpwstr/>
      </vt:variant>
      <vt:variant>
        <vt:i4>4784220</vt:i4>
      </vt:variant>
      <vt:variant>
        <vt:i4>126024</vt:i4>
      </vt:variant>
      <vt:variant>
        <vt:i4>1044</vt:i4>
      </vt:variant>
      <vt:variant>
        <vt:i4>4</vt:i4>
      </vt:variant>
      <vt:variant>
        <vt:lpwstr>javascript:void(0</vt:lpwstr>
      </vt:variant>
      <vt:variant>
        <vt:lpwstr/>
      </vt:variant>
      <vt:variant>
        <vt:i4>4784220</vt:i4>
      </vt:variant>
      <vt:variant>
        <vt:i4>127694</vt:i4>
      </vt:variant>
      <vt:variant>
        <vt:i4>1045</vt:i4>
      </vt:variant>
      <vt:variant>
        <vt:i4>4</vt:i4>
      </vt:variant>
      <vt:variant>
        <vt:lpwstr>javascript:void(0</vt:lpwstr>
      </vt:variant>
      <vt:variant>
        <vt:lpwstr/>
      </vt:variant>
      <vt:variant>
        <vt:i4>4784220</vt:i4>
      </vt:variant>
      <vt:variant>
        <vt:i4>127860</vt:i4>
      </vt:variant>
      <vt:variant>
        <vt:i4>1046</vt:i4>
      </vt:variant>
      <vt:variant>
        <vt:i4>4</vt:i4>
      </vt:variant>
      <vt:variant>
        <vt:lpwstr>javascript:void(0</vt:lpwstr>
      </vt:variant>
      <vt:variant>
        <vt:lpwstr/>
      </vt:variant>
      <vt:variant>
        <vt:i4>4784220</vt:i4>
      </vt:variant>
      <vt:variant>
        <vt:i4>129156</vt:i4>
      </vt:variant>
      <vt:variant>
        <vt:i4>1047</vt:i4>
      </vt:variant>
      <vt:variant>
        <vt:i4>4</vt:i4>
      </vt:variant>
      <vt:variant>
        <vt:lpwstr>javascript:void(0</vt:lpwstr>
      </vt:variant>
      <vt:variant>
        <vt:lpwstr/>
      </vt:variant>
      <vt:variant>
        <vt:i4>4784220</vt:i4>
      </vt:variant>
      <vt:variant>
        <vt:i4>129322</vt:i4>
      </vt:variant>
      <vt:variant>
        <vt:i4>1048</vt:i4>
      </vt:variant>
      <vt:variant>
        <vt:i4>4</vt:i4>
      </vt:variant>
      <vt:variant>
        <vt:lpwstr>javascript:void(0</vt:lpwstr>
      </vt:variant>
      <vt:variant>
        <vt:lpwstr/>
      </vt:variant>
      <vt:variant>
        <vt:i4>4784220</vt:i4>
      </vt:variant>
      <vt:variant>
        <vt:i4>130448</vt:i4>
      </vt:variant>
      <vt:variant>
        <vt:i4>1049</vt:i4>
      </vt:variant>
      <vt:variant>
        <vt:i4>4</vt:i4>
      </vt:variant>
      <vt:variant>
        <vt:lpwstr>javascript:void(0</vt:lpwstr>
      </vt:variant>
      <vt:variant>
        <vt:lpwstr/>
      </vt:variant>
      <vt:variant>
        <vt:i4>4784220</vt:i4>
      </vt:variant>
      <vt:variant>
        <vt:i4>130614</vt:i4>
      </vt:variant>
      <vt:variant>
        <vt:i4>1050</vt:i4>
      </vt:variant>
      <vt:variant>
        <vt:i4>4</vt:i4>
      </vt:variant>
      <vt:variant>
        <vt:lpwstr>javascript:void(0</vt:lpwstr>
      </vt:variant>
      <vt:variant>
        <vt:lpwstr/>
      </vt:variant>
      <vt:variant>
        <vt:i4>4784220</vt:i4>
      </vt:variant>
      <vt:variant>
        <vt:i4>133306</vt:i4>
      </vt:variant>
      <vt:variant>
        <vt:i4>1051</vt:i4>
      </vt:variant>
      <vt:variant>
        <vt:i4>4</vt:i4>
      </vt:variant>
      <vt:variant>
        <vt:lpwstr>javascript:void(0</vt:lpwstr>
      </vt:variant>
      <vt:variant>
        <vt:lpwstr/>
      </vt:variant>
      <vt:variant>
        <vt:i4>4784220</vt:i4>
      </vt:variant>
      <vt:variant>
        <vt:i4>133472</vt:i4>
      </vt:variant>
      <vt:variant>
        <vt:i4>1052</vt:i4>
      </vt:variant>
      <vt:variant>
        <vt:i4>4</vt:i4>
      </vt:variant>
      <vt:variant>
        <vt:lpwstr>javascript:void(0</vt:lpwstr>
      </vt:variant>
      <vt:variant>
        <vt:lpwstr/>
      </vt:variant>
      <vt:variant>
        <vt:i4>4784220</vt:i4>
      </vt:variant>
      <vt:variant>
        <vt:i4>134858</vt:i4>
      </vt:variant>
      <vt:variant>
        <vt:i4>1053</vt:i4>
      </vt:variant>
      <vt:variant>
        <vt:i4>4</vt:i4>
      </vt:variant>
      <vt:variant>
        <vt:lpwstr>javascript:void(0</vt:lpwstr>
      </vt:variant>
      <vt:variant>
        <vt:lpwstr/>
      </vt:variant>
      <vt:variant>
        <vt:i4>4784220</vt:i4>
      </vt:variant>
      <vt:variant>
        <vt:i4>135024</vt:i4>
      </vt:variant>
      <vt:variant>
        <vt:i4>1054</vt:i4>
      </vt:variant>
      <vt:variant>
        <vt:i4>4</vt:i4>
      </vt:variant>
      <vt:variant>
        <vt:lpwstr>javascript:void(0</vt:lpwstr>
      </vt:variant>
      <vt:variant>
        <vt:lpwstr/>
      </vt:variant>
      <vt:variant>
        <vt:i4>4784220</vt:i4>
      </vt:variant>
      <vt:variant>
        <vt:i4>136610</vt:i4>
      </vt:variant>
      <vt:variant>
        <vt:i4>1055</vt:i4>
      </vt:variant>
      <vt:variant>
        <vt:i4>4</vt:i4>
      </vt:variant>
      <vt:variant>
        <vt:lpwstr>javascript:void(0</vt:lpwstr>
      </vt:variant>
      <vt:variant>
        <vt:lpwstr/>
      </vt:variant>
      <vt:variant>
        <vt:i4>4784220</vt:i4>
      </vt:variant>
      <vt:variant>
        <vt:i4>136776</vt:i4>
      </vt:variant>
      <vt:variant>
        <vt:i4>1056</vt:i4>
      </vt:variant>
      <vt:variant>
        <vt:i4>4</vt:i4>
      </vt:variant>
      <vt:variant>
        <vt:lpwstr>javascript:void(0</vt:lpwstr>
      </vt:variant>
      <vt:variant>
        <vt:lpwstr/>
      </vt:variant>
      <vt:variant>
        <vt:i4>4784220</vt:i4>
      </vt:variant>
      <vt:variant>
        <vt:i4>138258</vt:i4>
      </vt:variant>
      <vt:variant>
        <vt:i4>1057</vt:i4>
      </vt:variant>
      <vt:variant>
        <vt:i4>4</vt:i4>
      </vt:variant>
      <vt:variant>
        <vt:lpwstr>javascript:void(0</vt:lpwstr>
      </vt:variant>
      <vt:variant>
        <vt:lpwstr/>
      </vt:variant>
      <vt:variant>
        <vt:i4>4784220</vt:i4>
      </vt:variant>
      <vt:variant>
        <vt:i4>138424</vt:i4>
      </vt:variant>
      <vt:variant>
        <vt:i4>1058</vt:i4>
      </vt:variant>
      <vt:variant>
        <vt:i4>4</vt:i4>
      </vt:variant>
      <vt:variant>
        <vt:lpwstr>javascript:void(0</vt:lpwstr>
      </vt:variant>
      <vt:variant>
        <vt:lpwstr/>
      </vt:variant>
      <vt:variant>
        <vt:i4>4784220</vt:i4>
      </vt:variant>
      <vt:variant>
        <vt:i4>140066</vt:i4>
      </vt:variant>
      <vt:variant>
        <vt:i4>1059</vt:i4>
      </vt:variant>
      <vt:variant>
        <vt:i4>4</vt:i4>
      </vt:variant>
      <vt:variant>
        <vt:lpwstr>javascript:void(0</vt:lpwstr>
      </vt:variant>
      <vt:variant>
        <vt:lpwstr/>
      </vt:variant>
      <vt:variant>
        <vt:i4>4784220</vt:i4>
      </vt:variant>
      <vt:variant>
        <vt:i4>140232</vt:i4>
      </vt:variant>
      <vt:variant>
        <vt:i4>1060</vt:i4>
      </vt:variant>
      <vt:variant>
        <vt:i4>4</vt:i4>
      </vt:variant>
      <vt:variant>
        <vt:lpwstr>javascript:void(0</vt:lpwstr>
      </vt:variant>
      <vt:variant>
        <vt:lpwstr/>
      </vt:variant>
      <vt:variant>
        <vt:i4>4784220</vt:i4>
      </vt:variant>
      <vt:variant>
        <vt:i4>142302</vt:i4>
      </vt:variant>
      <vt:variant>
        <vt:i4>1061</vt:i4>
      </vt:variant>
      <vt:variant>
        <vt:i4>4</vt:i4>
      </vt:variant>
      <vt:variant>
        <vt:lpwstr>javascript:void(0</vt:lpwstr>
      </vt:variant>
      <vt:variant>
        <vt:lpwstr/>
      </vt:variant>
      <vt:variant>
        <vt:i4>4784220</vt:i4>
      </vt:variant>
      <vt:variant>
        <vt:i4>142468</vt:i4>
      </vt:variant>
      <vt:variant>
        <vt:i4>1062</vt:i4>
      </vt:variant>
      <vt:variant>
        <vt:i4>4</vt:i4>
      </vt:variant>
      <vt:variant>
        <vt:lpwstr>javascript:void(0</vt:lpwstr>
      </vt:variant>
      <vt:variant>
        <vt:lpwstr/>
      </vt:variant>
      <vt:variant>
        <vt:i4>4784220</vt:i4>
      </vt:variant>
      <vt:variant>
        <vt:i4>143330</vt:i4>
      </vt:variant>
      <vt:variant>
        <vt:i4>1063</vt:i4>
      </vt:variant>
      <vt:variant>
        <vt:i4>4</vt:i4>
      </vt:variant>
      <vt:variant>
        <vt:lpwstr>javascript:void(0</vt:lpwstr>
      </vt:variant>
      <vt:variant>
        <vt:lpwstr/>
      </vt:variant>
      <vt:variant>
        <vt:i4>4784220</vt:i4>
      </vt:variant>
      <vt:variant>
        <vt:i4>143496</vt:i4>
      </vt:variant>
      <vt:variant>
        <vt:i4>1064</vt:i4>
      </vt:variant>
      <vt:variant>
        <vt:i4>4</vt:i4>
      </vt:variant>
      <vt:variant>
        <vt:lpwstr>javascript:void(0</vt:lpwstr>
      </vt:variant>
      <vt:variant>
        <vt:lpwstr/>
      </vt:variant>
      <vt:variant>
        <vt:i4>4784220</vt:i4>
      </vt:variant>
      <vt:variant>
        <vt:i4>144970</vt:i4>
      </vt:variant>
      <vt:variant>
        <vt:i4>1065</vt:i4>
      </vt:variant>
      <vt:variant>
        <vt:i4>4</vt:i4>
      </vt:variant>
      <vt:variant>
        <vt:lpwstr>javascript:void(0</vt:lpwstr>
      </vt:variant>
      <vt:variant>
        <vt:lpwstr/>
      </vt:variant>
      <vt:variant>
        <vt:i4>4784220</vt:i4>
      </vt:variant>
      <vt:variant>
        <vt:i4>145136</vt:i4>
      </vt:variant>
      <vt:variant>
        <vt:i4>1066</vt:i4>
      </vt:variant>
      <vt:variant>
        <vt:i4>4</vt:i4>
      </vt:variant>
      <vt:variant>
        <vt:lpwstr>javascript:void(0</vt:lpwstr>
      </vt:variant>
      <vt:variant>
        <vt:lpwstr/>
      </vt:variant>
      <vt:variant>
        <vt:i4>4784220</vt:i4>
      </vt:variant>
      <vt:variant>
        <vt:i4>146616</vt:i4>
      </vt:variant>
      <vt:variant>
        <vt:i4>1067</vt:i4>
      </vt:variant>
      <vt:variant>
        <vt:i4>4</vt:i4>
      </vt:variant>
      <vt:variant>
        <vt:lpwstr>javascript:void(0</vt:lpwstr>
      </vt:variant>
      <vt:variant>
        <vt:lpwstr/>
      </vt:variant>
      <vt:variant>
        <vt:i4>4784220</vt:i4>
      </vt:variant>
      <vt:variant>
        <vt:i4>146782</vt:i4>
      </vt:variant>
      <vt:variant>
        <vt:i4>1068</vt:i4>
      </vt:variant>
      <vt:variant>
        <vt:i4>4</vt:i4>
      </vt:variant>
      <vt:variant>
        <vt:lpwstr>javascript:void(0</vt:lpwstr>
      </vt:variant>
      <vt:variant>
        <vt:lpwstr/>
      </vt:variant>
      <vt:variant>
        <vt:i4>4784220</vt:i4>
      </vt:variant>
      <vt:variant>
        <vt:i4>148656</vt:i4>
      </vt:variant>
      <vt:variant>
        <vt:i4>1069</vt:i4>
      </vt:variant>
      <vt:variant>
        <vt:i4>4</vt:i4>
      </vt:variant>
      <vt:variant>
        <vt:lpwstr>javascript:void(0</vt:lpwstr>
      </vt:variant>
      <vt:variant>
        <vt:lpwstr/>
      </vt:variant>
      <vt:variant>
        <vt:i4>4784220</vt:i4>
      </vt:variant>
      <vt:variant>
        <vt:i4>148822</vt:i4>
      </vt:variant>
      <vt:variant>
        <vt:i4>1070</vt:i4>
      </vt:variant>
      <vt:variant>
        <vt:i4>4</vt:i4>
      </vt:variant>
      <vt:variant>
        <vt:lpwstr>javascript:void(0</vt:lpwstr>
      </vt:variant>
      <vt:variant>
        <vt:lpwstr/>
      </vt:variant>
      <vt:variant>
        <vt:i4>4784220</vt:i4>
      </vt:variant>
      <vt:variant>
        <vt:i4>150086</vt:i4>
      </vt:variant>
      <vt:variant>
        <vt:i4>1071</vt:i4>
      </vt:variant>
      <vt:variant>
        <vt:i4>4</vt:i4>
      </vt:variant>
      <vt:variant>
        <vt:lpwstr>javascript:void(0</vt:lpwstr>
      </vt:variant>
      <vt:variant>
        <vt:lpwstr/>
      </vt:variant>
      <vt:variant>
        <vt:i4>4784220</vt:i4>
      </vt:variant>
      <vt:variant>
        <vt:i4>150252</vt:i4>
      </vt:variant>
      <vt:variant>
        <vt:i4>1072</vt:i4>
      </vt:variant>
      <vt:variant>
        <vt:i4>4</vt:i4>
      </vt:variant>
      <vt:variant>
        <vt:lpwstr>javascript:void(0</vt:lpwstr>
      </vt:variant>
      <vt:variant>
        <vt:lpwstr/>
      </vt:variant>
      <vt:variant>
        <vt:i4>4784220</vt:i4>
      </vt:variant>
      <vt:variant>
        <vt:i4>151358</vt:i4>
      </vt:variant>
      <vt:variant>
        <vt:i4>1073</vt:i4>
      </vt:variant>
      <vt:variant>
        <vt:i4>4</vt:i4>
      </vt:variant>
      <vt:variant>
        <vt:lpwstr>javascript:void(0</vt:lpwstr>
      </vt:variant>
      <vt:variant>
        <vt:lpwstr/>
      </vt:variant>
      <vt:variant>
        <vt:i4>4784220</vt:i4>
      </vt:variant>
      <vt:variant>
        <vt:i4>151524</vt:i4>
      </vt:variant>
      <vt:variant>
        <vt:i4>1074</vt:i4>
      </vt:variant>
      <vt:variant>
        <vt:i4>4</vt:i4>
      </vt:variant>
      <vt:variant>
        <vt:lpwstr>javascript:void(0</vt:lpwstr>
      </vt:variant>
      <vt:variant>
        <vt:lpwstr/>
      </vt:variant>
      <vt:variant>
        <vt:i4>4784220</vt:i4>
      </vt:variant>
      <vt:variant>
        <vt:i4>153064</vt:i4>
      </vt:variant>
      <vt:variant>
        <vt:i4>1075</vt:i4>
      </vt:variant>
      <vt:variant>
        <vt:i4>4</vt:i4>
      </vt:variant>
      <vt:variant>
        <vt:lpwstr>javascript:void(0</vt:lpwstr>
      </vt:variant>
      <vt:variant>
        <vt:lpwstr/>
      </vt:variant>
      <vt:variant>
        <vt:i4>4784220</vt:i4>
      </vt:variant>
      <vt:variant>
        <vt:i4>153230</vt:i4>
      </vt:variant>
      <vt:variant>
        <vt:i4>1076</vt:i4>
      </vt:variant>
      <vt:variant>
        <vt:i4>4</vt:i4>
      </vt:variant>
      <vt:variant>
        <vt:lpwstr>javascript:void(0</vt:lpwstr>
      </vt:variant>
      <vt:variant>
        <vt:lpwstr/>
      </vt:variant>
      <vt:variant>
        <vt:i4>4784220</vt:i4>
      </vt:variant>
      <vt:variant>
        <vt:i4>154552</vt:i4>
      </vt:variant>
      <vt:variant>
        <vt:i4>1077</vt:i4>
      </vt:variant>
      <vt:variant>
        <vt:i4>4</vt:i4>
      </vt:variant>
      <vt:variant>
        <vt:lpwstr>javascript:void(0</vt:lpwstr>
      </vt:variant>
      <vt:variant>
        <vt:lpwstr/>
      </vt:variant>
      <vt:variant>
        <vt:i4>4784220</vt:i4>
      </vt:variant>
      <vt:variant>
        <vt:i4>154718</vt:i4>
      </vt:variant>
      <vt:variant>
        <vt:i4>1078</vt:i4>
      </vt:variant>
      <vt:variant>
        <vt:i4>4</vt:i4>
      </vt:variant>
      <vt:variant>
        <vt:lpwstr>javascript:void(0</vt:lpwstr>
      </vt:variant>
      <vt:variant>
        <vt:lpwstr/>
      </vt:variant>
      <vt:variant>
        <vt:i4>4784220</vt:i4>
      </vt:variant>
      <vt:variant>
        <vt:i4>156472</vt:i4>
      </vt:variant>
      <vt:variant>
        <vt:i4>1079</vt:i4>
      </vt:variant>
      <vt:variant>
        <vt:i4>4</vt:i4>
      </vt:variant>
      <vt:variant>
        <vt:lpwstr>javascript:void(0</vt:lpwstr>
      </vt:variant>
      <vt:variant>
        <vt:lpwstr/>
      </vt:variant>
      <vt:variant>
        <vt:i4>4784220</vt:i4>
      </vt:variant>
      <vt:variant>
        <vt:i4>156638</vt:i4>
      </vt:variant>
      <vt:variant>
        <vt:i4>1080</vt:i4>
      </vt:variant>
      <vt:variant>
        <vt:i4>4</vt:i4>
      </vt:variant>
      <vt:variant>
        <vt:lpwstr>javascript:void(0</vt:lpwstr>
      </vt:variant>
      <vt:variant>
        <vt:lpwstr/>
      </vt:variant>
      <vt:variant>
        <vt:i4>4784220</vt:i4>
      </vt:variant>
      <vt:variant>
        <vt:i4>158980</vt:i4>
      </vt:variant>
      <vt:variant>
        <vt:i4>1081</vt:i4>
      </vt:variant>
      <vt:variant>
        <vt:i4>4</vt:i4>
      </vt:variant>
      <vt:variant>
        <vt:lpwstr>javascript:void(0</vt:lpwstr>
      </vt:variant>
      <vt:variant>
        <vt:lpwstr/>
      </vt:variant>
      <vt:variant>
        <vt:i4>4784220</vt:i4>
      </vt:variant>
      <vt:variant>
        <vt:i4>159146</vt:i4>
      </vt:variant>
      <vt:variant>
        <vt:i4>1082</vt:i4>
      </vt:variant>
      <vt:variant>
        <vt:i4>4</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Anton Galenovich</dc:creator>
  <cp:keywords/>
  <dc:description/>
  <cp:lastModifiedBy>Anton Galenovich</cp:lastModifiedBy>
  <cp:revision>4</cp:revision>
  <dcterms:created xsi:type="dcterms:W3CDTF">2011-11-18T07:08:00Z</dcterms:created>
  <dcterms:modified xsi:type="dcterms:W3CDTF">2011-11-18T07:49:00Z</dcterms:modified>
</cp:coreProperties>
</file>