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7" w:rsidRDefault="00263F77" w:rsidP="00263F77">
      <w:pPr>
        <w:spacing w:after="450" w:line="518" w:lineRule="atLeast"/>
        <w:outlineLvl w:val="0"/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</w:pPr>
      <w:r>
        <w:rPr>
          <w:rFonts w:ascii="CommissionerRegular" w:eastAsia="Times New Roman" w:hAnsi="CommissionerRegular" w:cs="Times New Roman"/>
          <w:b/>
          <w:bCs/>
          <w:noProof/>
          <w:color w:val="1A1A1A"/>
          <w:kern w:val="36"/>
          <w:sz w:val="45"/>
          <w:szCs w:val="45"/>
          <w:lang w:eastAsia="ru-RU"/>
        </w:rPr>
        <w:drawing>
          <wp:inline distT="0" distB="0" distL="0" distR="0" wp14:anchorId="0A2DCA04">
            <wp:extent cx="3395980" cy="8172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F77" w:rsidRPr="00263F77" w:rsidRDefault="00263F77" w:rsidP="00263F77">
      <w:pPr>
        <w:spacing w:after="450" w:line="518" w:lineRule="atLeast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263F77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Создана дорожная карта по восстановлению финансово-экономической стабильности «</w:t>
      </w:r>
      <w:proofErr w:type="spellStart"/>
      <w:r w:rsidRPr="00263F77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Казводхоза</w:t>
      </w:r>
      <w:proofErr w:type="spellEnd"/>
      <w:r w:rsidRPr="00263F77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»</w:t>
      </w:r>
    </w:p>
    <w:p w:rsidR="00263F77" w:rsidRPr="00263F77" w:rsidRDefault="00263F77" w:rsidP="00263F77">
      <w:pPr>
        <w:spacing w:after="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r w:rsidRPr="00263F77"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>Автор:  </w:t>
      </w:r>
    </w:p>
    <w:p w:rsidR="00263F77" w:rsidRPr="00263F77" w:rsidRDefault="00E65479" w:rsidP="00263F77">
      <w:pPr>
        <w:spacing w:after="3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hyperlink r:id="rId6" w:history="1">
        <w:proofErr w:type="spellStart"/>
        <w:r w:rsidR="00263F77" w:rsidRPr="00263F77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Арайлым</w:t>
        </w:r>
        <w:proofErr w:type="spellEnd"/>
        <w:r w:rsidR="00263F77" w:rsidRPr="00263F77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="00263F77" w:rsidRPr="00263F77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Мұрат</w:t>
        </w:r>
        <w:proofErr w:type="spellEnd"/>
      </w:hyperlink>
    </w:p>
    <w:p w:rsidR="00263F77" w:rsidRDefault="00263F77" w:rsidP="00263F77">
      <w:pPr>
        <w:spacing w:after="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r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 xml:space="preserve">12 Мая 2023,     </w:t>
      </w:r>
      <w:r w:rsidRPr="00263F77"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>https://www.inform.kz/ru/</w:t>
      </w:r>
    </w:p>
    <w:p w:rsidR="00263F77" w:rsidRPr="00263F77" w:rsidRDefault="00263F77" w:rsidP="00263F77">
      <w:pPr>
        <w:spacing w:after="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</w:p>
    <w:p w:rsidR="00263F77" w:rsidRPr="00263F77" w:rsidRDefault="00263F77" w:rsidP="00263F77">
      <w:pPr>
        <w:spacing w:after="0" w:line="240" w:lineRule="auto"/>
        <w:rPr>
          <w:rFonts w:ascii="CommissionerRegular" w:eastAsia="Times New Roman" w:hAnsi="CommissionerRegular" w:cs="Times New Roman"/>
          <w:color w:val="000000"/>
          <w:sz w:val="27"/>
          <w:szCs w:val="27"/>
          <w:lang w:eastAsia="ru-RU"/>
        </w:rPr>
      </w:pPr>
      <w:r>
        <w:rPr>
          <w:rFonts w:ascii="CommissionerRegular" w:eastAsia="Times New Roman" w:hAnsi="CommissionerRegular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F8721BC">
            <wp:extent cx="4630315" cy="308328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81" cy="3084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F77" w:rsidRDefault="00263F77" w:rsidP="00263F77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</w:p>
    <w:p w:rsidR="00263F77" w:rsidRPr="00263F77" w:rsidRDefault="00263F77" w:rsidP="00263F77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АСТАНА. КАЗИНФОРМ – Руководством «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Казводхоза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» проводится работа по оздоровлению и трансформации предприятия, по восстановлению финансово-экономической стабильности. Об этом заявила 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и.о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. генерального директора предприятия 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Асель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Абильева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, передает корреспондент МИА «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Казинформ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».</w:t>
      </w:r>
    </w:p>
    <w:p w:rsidR="00263F77" w:rsidRPr="00263F77" w:rsidRDefault="00263F77" w:rsidP="00263F77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«Создана дорожная карта по оздоровлению всего предприятия, по восстановлению финансово-экономической стабильности, чтобы в дальнейшем мы могли обеспечивать финансами сами себя, чтобы не просили у бюджета средства. Для этого нам нужно сделать полный мониторинг наших водохозяйственных объектов, ревизию на эффективную целесообразность. Например, мы отремонтировали канал, и он должен дальше работать и приносить пользу 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сельхозработникам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. Для этого проводится большая работа по </w:t>
      </w:r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lastRenderedPageBreak/>
        <w:t xml:space="preserve">оздоровлению и трансформации предприятия», - сказала на брифинге 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Асель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Абильева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.</w:t>
      </w:r>
    </w:p>
    <w:p w:rsidR="00263F77" w:rsidRPr="00263F77" w:rsidRDefault="00263F77" w:rsidP="00263F77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Еще одна проблема, которую поднял глава группы «Водные ресурсы» офиса цифровой трансформации Минэкологии 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Каирбек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Сисембин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, – наличная оплата за тарифы.</w:t>
      </w:r>
    </w:p>
    <w:p w:rsidR="00263F77" w:rsidRPr="00263F77" w:rsidRDefault="00263F77" w:rsidP="00263F77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«У нас по сей день прием оплаты за воду производится частично в наличном режиме. Хотелось бы перейти полностью на безналичный расчет во избежание теневого оборота денежных средств. Сейчас работаем над тем, чтобы уйти от наличной оплаты. Хотим пересмотреть все реализуемые проекты», - добавил 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Каирбек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Сисембин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.</w:t>
      </w:r>
    </w:p>
    <w:p w:rsidR="00263F77" w:rsidRPr="00263F77" w:rsidRDefault="00263F77" w:rsidP="00263F77">
      <w:pPr>
        <w:spacing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Напомним, на совещании по вопросам социально-экономического развития Глава государства 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Касым-Жомарт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Токаев </w:t>
      </w:r>
      <w:hyperlink r:id="rId8" w:tgtFrame="_blank" w:history="1">
        <w:r w:rsidRPr="00263F77">
          <w:rPr>
            <w:rFonts w:ascii="CommissionerRegular" w:eastAsia="Times New Roman" w:hAnsi="CommissionerRegular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поручил</w:t>
        </w:r>
      </w:hyperlink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 переформатировать «</w:t>
      </w:r>
      <w:proofErr w:type="spellStart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Казводхоз</w:t>
      </w:r>
      <w:proofErr w:type="spellEnd"/>
      <w:r w:rsidRPr="00263F77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».</w:t>
      </w:r>
    </w:p>
    <w:p w:rsidR="0088396D" w:rsidRDefault="0088396D"/>
    <w:p w:rsidR="00E65479" w:rsidRPr="00E65479" w:rsidRDefault="00E65479" w:rsidP="00E65479">
      <w:pPr>
        <w:spacing w:after="450" w:line="518" w:lineRule="atLeast"/>
        <w:outlineLvl w:val="0"/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</w:pPr>
      <w:r w:rsidRPr="00E65479"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  <w:t>Долги «</w:t>
      </w:r>
      <w:proofErr w:type="spellStart"/>
      <w:r w:rsidRPr="00E65479"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  <w:t>Казводхоза</w:t>
      </w:r>
      <w:proofErr w:type="spellEnd"/>
      <w:r w:rsidRPr="00E65479"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  <w:t xml:space="preserve">» перед международными финансовыми организациями превышают 100 </w:t>
      </w:r>
      <w:proofErr w:type="gramStart"/>
      <w:r w:rsidRPr="00E65479"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  <w:t>млрд</w:t>
      </w:r>
      <w:proofErr w:type="gramEnd"/>
      <w:r w:rsidRPr="00E65479"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  <w:t xml:space="preserve"> тенге</w:t>
      </w:r>
    </w:p>
    <w:p w:rsidR="00E65479" w:rsidRPr="00E65479" w:rsidRDefault="00E65479" w:rsidP="00E65479">
      <w:pPr>
        <w:spacing w:after="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>Автор:  </w:t>
      </w:r>
    </w:p>
    <w:p w:rsidR="00E65479" w:rsidRPr="00E65479" w:rsidRDefault="00E65479" w:rsidP="00E65479">
      <w:pPr>
        <w:spacing w:after="3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hyperlink r:id="rId9" w:history="1">
        <w:proofErr w:type="spellStart"/>
        <w:r w:rsidRPr="00E65479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Арайлым</w:t>
        </w:r>
        <w:proofErr w:type="spellEnd"/>
        <w:r w:rsidRPr="00E65479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E65479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Мұрат</w:t>
        </w:r>
        <w:proofErr w:type="spellEnd"/>
      </w:hyperlink>
    </w:p>
    <w:p w:rsidR="00E65479" w:rsidRPr="00E65479" w:rsidRDefault="00E65479" w:rsidP="00E65479">
      <w:pPr>
        <w:spacing w:after="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r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 xml:space="preserve">12 Мая 2023, </w:t>
      </w:r>
    </w:p>
    <w:p w:rsidR="00E65479" w:rsidRPr="00E65479" w:rsidRDefault="00E65479" w:rsidP="00E65479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АСТАНА. КАЗИНФОРМ – Долги «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Казводхоза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» перед международными финансовыми организациями превышают 100 </w:t>
      </w:r>
      <w:proofErr w:type="gram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млрд</w:t>
      </w:r>
      <w:proofErr w:type="gram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тенге. Однако на предприятии готовы отказаться от этих займов, провести ревизию объектов, куда были направлены эти средства, передает корреспондент МИА «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Казинформ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».</w:t>
      </w:r>
    </w:p>
    <w:p w:rsidR="00E65479" w:rsidRPr="00E65479" w:rsidRDefault="00E65479" w:rsidP="00E65479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«Львиную долю нынешних затрат предприятия составляют международные финансовые займы в сумме более 100 </w:t>
      </w:r>
      <w:proofErr w:type="gram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млрд</w:t>
      </w:r>
      <w:proofErr w:type="gram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тенге. Сумма предусмотрена для восстановления наших каналов. Но мы сейчас изучаем, что нужно пересмотреть, чтобы уменьшить ту заявку. Скорее </w:t>
      </w:r>
      <w:proofErr w:type="gram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всего</w:t>
      </w:r>
      <w:proofErr w:type="gram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будем проводить переговоры с международными финансовыми организациями. Мы хотим отказаться от займов, так как собственными силами мы можем всю ту же работу проделать. Эти средства мы брали на ремонт каналов. Сам весь этот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займ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ошибочный. Мы делаем ревизию всех объектов, на которые были направлены </w:t>
      </w:r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lastRenderedPageBreak/>
        <w:t xml:space="preserve">эти средства», - сказал на брифинге руководитель группы «Водные ресурсы» офиса цифровой трансформации Минэкологии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Каирбек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Сисембин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.</w:t>
      </w:r>
    </w:p>
    <w:p w:rsidR="00E65479" w:rsidRPr="00E65479" w:rsidRDefault="00E65479" w:rsidP="00E65479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И.о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. генерального директора «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Казводхоза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»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Асель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Абильева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объяснила, что были привлечены займовые средства Европейского банка развития и Исламского банка развития.</w:t>
      </w:r>
    </w:p>
    <w:p w:rsidR="00E65479" w:rsidRPr="00E65479" w:rsidRDefault="00E65479" w:rsidP="00E65479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«Идет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неосвоение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займовых средств. Причина – некорректно были взяты ПСД на восстановление агрегационных сетей. Займы брали с 2017 года под госгарантию на реконструкцию водохозяйственных и гидромелиоративных систем четырех областей: Актюбинской,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Жамбылской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, Туркестанской и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Алматинской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. На реализацию проектов Евразийским банком развития было выделено 60,9 миллиардов тенге. Исламский банк развития выделил на проект восстановления ирригации и дренажа 53,2 миллиарда тенге», - пояснила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Асель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Абильева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.</w:t>
      </w:r>
    </w:p>
    <w:p w:rsidR="00E65479" w:rsidRPr="00E65479" w:rsidRDefault="00E65479" w:rsidP="00E65479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По словам руководителя группы «Водные ресурсы» офиса цифровой трансформации Минэкологии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Каирбека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Сисембина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, уже использованы 40% займов.</w:t>
      </w:r>
    </w:p>
    <w:p w:rsidR="00E65479" w:rsidRPr="00E65479" w:rsidRDefault="00E65479" w:rsidP="00E65479">
      <w:pPr>
        <w:spacing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«Если сейчас остановить, мы не упадем в долговую яму. У нас есть программа - оплата через тарифы. Единый тариф, оплата производится за счет денежных средств, которые мы получаем от фермеров. Где-то до сих пор платят наличными. Сейчас работаем над тем, чтобы уйти от наличной оплаты. Хотим пересмотреть все реализуемые проекты», - добавил он.</w:t>
      </w:r>
    </w:p>
    <w:p w:rsidR="00E65479" w:rsidRDefault="00E65479"/>
    <w:p w:rsidR="00E65479" w:rsidRPr="00E65479" w:rsidRDefault="00E65479" w:rsidP="00E65479">
      <w:pPr>
        <w:spacing w:after="450" w:line="518" w:lineRule="atLeast"/>
        <w:outlineLvl w:val="0"/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</w:pPr>
      <w:proofErr w:type="spellStart"/>
      <w:r w:rsidRPr="00E65479"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  <w:t>Казводхоз</w:t>
      </w:r>
      <w:proofErr w:type="spellEnd"/>
      <w:r w:rsidRPr="00E65479"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  <w:t xml:space="preserve"> проводит ревизию всех водохозяйственных объектов</w:t>
      </w:r>
    </w:p>
    <w:p w:rsidR="00E65479" w:rsidRPr="00E65479" w:rsidRDefault="00E65479" w:rsidP="00E65479">
      <w:pPr>
        <w:spacing w:after="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>Автор:  </w:t>
      </w:r>
    </w:p>
    <w:p w:rsidR="00E65479" w:rsidRPr="00E65479" w:rsidRDefault="00E65479" w:rsidP="00E65479">
      <w:pPr>
        <w:spacing w:after="3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hyperlink r:id="rId10" w:history="1">
        <w:proofErr w:type="spellStart"/>
        <w:r w:rsidRPr="00E65479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Арайлым</w:t>
        </w:r>
        <w:proofErr w:type="spellEnd"/>
        <w:r w:rsidRPr="00E65479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E65479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Мұрат</w:t>
        </w:r>
        <w:proofErr w:type="spellEnd"/>
      </w:hyperlink>
    </w:p>
    <w:p w:rsidR="00E65479" w:rsidRPr="00E65479" w:rsidRDefault="00E65479" w:rsidP="00E65479">
      <w:pPr>
        <w:spacing w:after="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>12 Мая 2023, 17:56</w:t>
      </w:r>
      <w:bookmarkStart w:id="0" w:name="_GoBack"/>
      <w:bookmarkEnd w:id="0"/>
    </w:p>
    <w:p w:rsidR="00E65479" w:rsidRPr="00E65479" w:rsidRDefault="00E65479" w:rsidP="00E65479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АСТАНА. КАЗИНФОРМ –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Казводхоз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проводит ревизию всех водохозяйственных объектов на предмет их состояния для дальнейшей подачи воды. Об этом заявила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и.о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. генерального директора РГП на ПХВ «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Казводхоз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»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Асель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Абильева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, передает корреспондент МИА «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Казинформ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».</w:t>
      </w:r>
    </w:p>
    <w:p w:rsidR="00E65479" w:rsidRPr="00E65479" w:rsidRDefault="00E65479" w:rsidP="00E65479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lastRenderedPageBreak/>
        <w:t>«В настоящее время на балансе «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Казводхоз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» имеется 5880 гидротехнических сооружений. 87 водохранилищ, гидроузлов, плотин входят в этот состав. На сегодняшний день водохранилища, гидроузлы находятся в неудовлетворительном состоянии. Необходима реконструкция, восстановление этих каналов для подачи питьевой, поливной воды. Также мы сейчас проводим ревизию всех водохозяйственных объектов на предмет их состояния для дальнейшей подачи воды», - сказала на брифинге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и.о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. главы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Казводхоз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Асель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Абильева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.</w:t>
      </w:r>
    </w:p>
    <w:p w:rsidR="00E65479" w:rsidRPr="00E65479" w:rsidRDefault="00E65479" w:rsidP="00E65479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Спикер также подробно рассказала о развитии водохозяйственного комплекса. В частности, были даны поручения по увеличению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орашаемых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земель.</w:t>
      </w:r>
    </w:p>
    <w:p w:rsidR="00E65479" w:rsidRPr="00E65479" w:rsidRDefault="00E65479" w:rsidP="00E65479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«Во исполнение данного поручения в целях снижения нагрузки на республиканский бюджет были приняты обязательства, займы от международных финансовых организаций - Европейского банка развития и Исламского банка развития - на восстановление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ирегационных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сетей 4 областей республики: Актюбинской,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Алматинской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,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Жамбылской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, Туркестанской. Учитывая, что предварительные расчеты показали существенный рост тарифов в вышеуказанных регионах, было принято решение по объединению тарифных смет всех филиалов предприятий. Был утвержден единый тариф по группам потребителей, позволяющий осуществить возврат заемных средств за счет их дохода», - отметила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Асель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Абильева</w:t>
      </w:r>
      <w:proofErr w:type="spellEnd"/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.</w:t>
      </w:r>
    </w:p>
    <w:p w:rsidR="00E65479" w:rsidRPr="00E65479" w:rsidRDefault="00E65479" w:rsidP="00E65479">
      <w:pPr>
        <w:spacing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E65479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Также с 2024 года предприятие устанавливает новый тариф на подачу воды. На предприятии рассчитывают, что средний тариф на подачу воды составит 3,8 тенге за кубометр воды, а для сельхозпроизводителей – 1.8 тенге.</w:t>
      </w:r>
    </w:p>
    <w:p w:rsidR="00E65479" w:rsidRDefault="00E65479"/>
    <w:p w:rsidR="00E65479" w:rsidRDefault="00E65479"/>
    <w:sectPr w:rsidR="00E6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missioner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78"/>
    <w:rsid w:val="00263F77"/>
    <w:rsid w:val="0088396D"/>
    <w:rsid w:val="00972B78"/>
    <w:rsid w:val="00E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5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7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2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9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5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5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7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5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7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32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24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.kz/ru/nizkuyu-effektivnost-vodohozyaystvennoy-otrasli-otmetil-prezident_a40585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form.kz/ru/araylym-murat_author37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form.kz/ru/araylym-murat_author3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rm.kz/ru/araylym-murat_author3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2023-05-15T18:08:00Z</dcterms:created>
  <dcterms:modified xsi:type="dcterms:W3CDTF">2023-05-15T18:19:00Z</dcterms:modified>
</cp:coreProperties>
</file>