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6" w:rsidRPr="000B5EC6" w:rsidRDefault="000B5EC6" w:rsidP="000B5EC6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0070C0"/>
          <w:kern w:val="36"/>
          <w:sz w:val="48"/>
          <w:szCs w:val="48"/>
          <w:lang w:eastAsia="ru-RU"/>
        </w:rPr>
      </w:pPr>
      <w:r w:rsidRPr="000B5EC6">
        <w:rPr>
          <w:rFonts w:ascii="Arial" w:eastAsia="Times New Roman" w:hAnsi="Arial" w:cs="Arial"/>
          <w:b/>
          <w:color w:val="0070C0"/>
          <w:kern w:val="36"/>
          <w:sz w:val="48"/>
          <w:szCs w:val="48"/>
          <w:lang w:eastAsia="ru-RU"/>
        </w:rPr>
        <w:t>Министерство экологии и природных ресурсов Республики Казахстан</w:t>
      </w:r>
    </w:p>
    <w:p w:rsidR="000B5EC6" w:rsidRPr="000B5EC6" w:rsidRDefault="000B5EC6" w:rsidP="000B5EC6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</w:pPr>
      <w:bookmarkStart w:id="0" w:name="_GoBack"/>
      <w:r w:rsidRPr="000B5EC6">
        <w:rPr>
          <w:rFonts w:ascii="Arial" w:eastAsia="Times New Roman" w:hAnsi="Arial" w:cs="Arial"/>
          <w:color w:val="151515"/>
          <w:kern w:val="36"/>
          <w:sz w:val="48"/>
          <w:szCs w:val="48"/>
          <w:lang w:eastAsia="ru-RU"/>
        </w:rPr>
        <w:t>Водоснабжение городских и сельских населенных пунктов</w:t>
      </w:r>
    </w:p>
    <w:bookmarkEnd w:id="0"/>
    <w:p w:rsidR="000B5EC6" w:rsidRPr="000B5EC6" w:rsidRDefault="000B5EC6" w:rsidP="000B5E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 xml:space="preserve">02 мая 2023 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 xml:space="preserve">     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https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://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www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.</w:t>
      </w:r>
      <w:proofErr w:type="spellStart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gov</w:t>
      </w:r>
      <w:proofErr w:type="spellEnd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.</w:t>
      </w:r>
      <w:proofErr w:type="spellStart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kz</w:t>
      </w:r>
      <w:proofErr w:type="spellEnd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/</w:t>
      </w:r>
      <w:proofErr w:type="spellStart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memleket</w:t>
      </w:r>
      <w:proofErr w:type="spellEnd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/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entities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/</w:t>
      </w:r>
      <w:proofErr w:type="spellStart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ecogeo</w:t>
      </w:r>
      <w:proofErr w:type="spellEnd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/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press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/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news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/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details</w:t>
      </w:r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/547840?</w:t>
      </w:r>
      <w:proofErr w:type="spellStart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lang</w:t>
      </w:r>
      <w:proofErr w:type="spellEnd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eastAsia="ru-RU"/>
        </w:rPr>
        <w:t>=</w:t>
      </w:r>
      <w:proofErr w:type="spellStart"/>
      <w:r w:rsidRPr="000B5EC6">
        <w:rPr>
          <w:rFonts w:ascii="Arial" w:eastAsia="Times New Roman" w:hAnsi="Arial" w:cs="Arial"/>
          <w:b/>
          <w:color w:val="616161"/>
          <w:sz w:val="32"/>
          <w:szCs w:val="32"/>
          <w:lang w:val="en-US" w:eastAsia="ru-RU"/>
        </w:rPr>
        <w:t>ru</w:t>
      </w:r>
      <w:proofErr w:type="spellEnd"/>
    </w:p>
    <w:p w:rsidR="000B5EC6" w:rsidRPr="000B5EC6" w:rsidRDefault="000B5EC6" w:rsidP="000B5EC6">
      <w:pPr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0B5EC6" w:rsidRPr="000B5EC6" w:rsidRDefault="000B5EC6" w:rsidP="000B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0B5EC6" w:rsidRPr="000B5EC6" w:rsidRDefault="000B5EC6" w:rsidP="000B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0B5EC6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6269B89E" wp14:editId="0CDC6071">
            <wp:extent cx="5895975" cy="3803856"/>
            <wp:effectExtent l="0" t="0" r="0" b="6350"/>
            <wp:docPr id="16" name="Рисунок 16" descr="https://www.gov.kz/uploads/2023/5/2/6c3719c1b986131cf86045ce70091cb3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ov.kz/uploads/2023/5/2/6c3719c1b986131cf86045ce70091cb3_1280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22" cy="38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EC6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316DAD93" wp14:editId="57A89BBF">
            <wp:extent cx="3007783" cy="1691877"/>
            <wp:effectExtent l="0" t="0" r="2540" b="3810"/>
            <wp:docPr id="15" name="Рисунок 15" descr="https://www.gov.kz/uploads/2023/5/2/bb1fdf71195295f1b797ddbbeb3f3da5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ov.kz/uploads/2023/5/2/bb1fdf71195295f1b797ddbbeb3f3da5_1280x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40" cy="16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EC6">
        <w:rPr>
          <w:rFonts w:ascii="Arial" w:eastAsia="Times New Roman" w:hAnsi="Arial" w:cs="Arial"/>
          <w:noProof/>
          <w:color w:val="151515"/>
          <w:sz w:val="21"/>
          <w:szCs w:val="21"/>
          <w:lang w:eastAsia="ru-RU"/>
        </w:rPr>
        <w:drawing>
          <wp:inline distT="0" distB="0" distL="0" distR="0" wp14:anchorId="75E78C84" wp14:editId="4F068E47">
            <wp:extent cx="2809875" cy="1693800"/>
            <wp:effectExtent l="0" t="0" r="0" b="1905"/>
            <wp:docPr id="17" name="Рисунок 17" descr="https://www.gov.kz/uploads/2023/5/2/b9e711232b728695e5d46f480d272bda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ov.kz/uploads/2023/5/2/b9e711232b728695e5d46f480d272bda_128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56" cy="16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C6" w:rsidRPr="000B5EC6" w:rsidRDefault="000B5EC6" w:rsidP="000B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0B5EC6" w:rsidRPr="000B5EC6" w:rsidRDefault="000B5EC6" w:rsidP="000B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Сегодня на заседании Правительства РК были рассмотрены вопросы водоснабжения городских и сельских населенных пунктов.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lastRenderedPageBreak/>
        <w:t>В ходе доклада министр экологии  и природных ресурсов РК З. Сулейменова отметила, что обеспечение населения качественной питьевой водой является одной из приоритетных задач Министерства.               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 соответствии с Водным кодексом Министерство осуществляет функции по водоснабжению до границ населенных пунктов и является администратором бюджетной программы по строительству и реконструкции групповых водопроводов.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В настоящее время всего по республике имеется 80 групповых водопроводов протяженностью 15,5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тыс</w:t>
      </w:r>
      <w:proofErr w:type="gram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.к</w:t>
      </w:r>
      <w:proofErr w:type="gram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м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, из них в республиканской собственности находятся 39 групповых водопроводов протяженностью 13,4 тыс. км. Они обеспечивают питьевой водой 655 сельских населенных пунктов с численностью 1,4 млн. человек.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proofErr w:type="gram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В 2021-2022 годах введено в эксплуатацию 7 объектов по строительству и реконструкции групповых водоводов в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Акмолинской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Актюбинской,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Кызылординской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Улытауской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и Северо-Казахстанской областях.</w:t>
      </w:r>
      <w:proofErr w:type="gram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Также в тестовом режиме качественная питьевая вода подается по 1 объекту в области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Ұлытау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В результате построено 800 км сетей, доступ к качественной питьевой воде получили 5сельских населенных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пункта</w:t>
      </w:r>
      <w:proofErr w:type="gram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,г</w:t>
      </w:r>
      <w:proofErr w:type="gram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де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проживает 5,8тыс.человек и улучшено водоснабжение в51СНП и 3 городах (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Сатпаев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Макинск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и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Жезказган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частично)с населением 203тыс. человек.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proofErr w:type="gram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В этом году запланировано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ввестив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эксплуатацию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Эскулинский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водовод, который был начат в 2010 году, а также выделены средства в размере 19,1 млрд. тенге на реализацию 27объектов по строительству и реконструкции групповых водопроводов в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Акмолинской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Алматинской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Атырауской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Улытауской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Кызылординской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Мангистауской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, Туркестанской и Северо-Казахстанской областях.</w:t>
      </w:r>
      <w:proofErr w:type="gramEnd"/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Кроме того, на сегодняшний день Министерством прорабатывается вопрос выделения сре</w:t>
      </w:r>
      <w:proofErr w:type="gram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дств в р</w:t>
      </w:r>
      <w:proofErr w:type="gram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азмере 4,2 млрд. тенге из резерва Правительства на неотложные нужды для продолжения реализации проекта </w:t>
      </w:r>
      <w:proofErr w:type="spell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Уйтас-Айдосского</w:t>
      </w:r>
      <w:proofErr w:type="spell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группового водовода.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Для стопроцентного обеспечения населения качественной питьевой воды по линии Министерства планируется реализация 8 проектов по строительству и реконструкции групповых водопроводов, </w:t>
      </w: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lastRenderedPageBreak/>
        <w:t>где предусмотрено обеспечить подачу качественной питьевой воды 41 СНП численностью 22,3 тыс. человек.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«В целом к 2025 году построив порядка 1,2 тыс. км групповых водопроводов планируется обеспечить качественной питьевой водой 41СНП с численностью 22,3 тыс. </w:t>
      </w:r>
      <w:proofErr w:type="gramStart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человек</w:t>
      </w:r>
      <w:proofErr w:type="gramEnd"/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и улучшено водоснабжение 52СНП с численностью 33,0 тыс. человек» - отметила З. Сулейменова.</w:t>
      </w:r>
    </w:p>
    <w:p w:rsidR="000B5EC6" w:rsidRPr="000B5EC6" w:rsidRDefault="000B5EC6" w:rsidP="000B5EC6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0B5EC6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 </w:t>
      </w:r>
    </w:p>
    <w:p w:rsidR="00FE4141" w:rsidRDefault="00FE4141"/>
    <w:sectPr w:rsidR="00FE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D"/>
    <w:rsid w:val="000B5EC6"/>
    <w:rsid w:val="0060067D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0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4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9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91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6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6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8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00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7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0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70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6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4242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9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6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2023-05-16T05:45:00Z</dcterms:created>
  <dcterms:modified xsi:type="dcterms:W3CDTF">2023-05-16T05:53:00Z</dcterms:modified>
</cp:coreProperties>
</file>