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2491"/>
        <w:gridCol w:w="6791"/>
      </w:tblGrid>
      <w:tr w:rsidR="009F5A2E" w:rsidTr="009F5A2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5A2E" w:rsidRPr="00192B8B" w:rsidRDefault="009F5A2E" w:rsidP="009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ab/>
            </w:r>
            <w:r w:rsidRPr="00192B8B">
              <w:rPr>
                <w:rFonts w:ascii="Times New Roman" w:hAnsi="Times New Roman" w:cs="Times New Roman"/>
                <w:sz w:val="24"/>
                <w:szCs w:val="24"/>
              </w:rPr>
              <w:t>Guidelines:</w:t>
            </w:r>
          </w:p>
          <w:p w:rsidR="009F5A2E" w:rsidRPr="00192B8B" w:rsidRDefault="009F5A2E" w:rsidP="009F5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B8B">
              <w:rPr>
                <w:rFonts w:ascii="Times New Roman" w:hAnsi="Times New Roman" w:cs="Times New Roman"/>
                <w:sz w:val="24"/>
                <w:szCs w:val="24"/>
              </w:rPr>
              <w:t>Each student has been allotted an assignment topic or case for case analysis.</w:t>
            </w:r>
          </w:p>
          <w:p w:rsidR="009F5A2E" w:rsidRPr="00192B8B" w:rsidRDefault="009F5A2E" w:rsidP="009F5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B8B">
              <w:rPr>
                <w:rFonts w:ascii="Times New Roman" w:hAnsi="Times New Roman" w:cs="Times New Roman"/>
                <w:sz w:val="24"/>
                <w:szCs w:val="24"/>
              </w:rPr>
              <w:t>Marks will be given for submission and viva on the allotted topic</w:t>
            </w:r>
          </w:p>
          <w:p w:rsidR="009F5A2E" w:rsidRPr="00192B8B" w:rsidRDefault="009F5A2E" w:rsidP="009F5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B8B">
              <w:rPr>
                <w:rFonts w:ascii="Times New Roman" w:hAnsi="Times New Roman" w:cs="Times New Roman"/>
                <w:sz w:val="24"/>
                <w:szCs w:val="24"/>
              </w:rPr>
              <w:t>The PSDA has to be handwritten and should have minimum of 7 and maximum of 10 pages.</w:t>
            </w:r>
          </w:p>
          <w:p w:rsidR="009F5A2E" w:rsidRPr="00192B8B" w:rsidRDefault="009F5A2E" w:rsidP="009F5A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B8B">
              <w:rPr>
                <w:rFonts w:ascii="Times New Roman" w:hAnsi="Times New Roman" w:cs="Times New Roman"/>
                <w:sz w:val="24"/>
                <w:szCs w:val="24"/>
              </w:rPr>
              <w:t>PSDA is to be submitted on 21.10.2019</w:t>
            </w:r>
          </w:p>
          <w:p w:rsidR="009F5A2E" w:rsidRDefault="009F5A2E" w:rsidP="009F5A2E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PSDA LEGAL ETHICS AND COURT CRAFT (BALLB 5A)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PSDA ASSIGNMENT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Abhilash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Bhardwaj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Functions of State Bar Councils  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Pal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Functions of Bar Council of India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Ahmed Khan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Maninderjeet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UOI, (2011) 11 SCALE 634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Akansha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Registrar, Delhi High Court (2009) 8 SCC 106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Alisha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Saini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 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Arundhati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Roy, AIR 2002 SC 1375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Ambrish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Dhavan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Mrityunjoy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Das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Rahaman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AIR 2001 SC 1293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Madan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Bhuramal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Swami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Raghuveer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&amp; Ors. (Judgment delivered on 21st Oct 2016)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Perspective Publication v. State of Maharashtra, AIR 1970 SC 221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Darshit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Vardaan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Narmada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Bachao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Andolan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UOI, AIR 1999 SC 3345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Drishti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Chopra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SC Bar Association v. UOI, AIR 1998 SC 1895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Vashisht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Pushpaben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&amp; others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Narandas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Badani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AIR 1979 SC 1536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Gursimar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Daroga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v. B 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(2004) 5 SCC 26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Iqra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Afreen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Pravin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C. Shah v. K.A.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Ali, (2001) 8 SCC 650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Japsanjam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Registrar, Delhi High Court (2009) 8 SCC 106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Jatin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 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(1995) 2 SCC 584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Joyce Jacob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Anees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Ahmed v. University of Delhi, AIR 2002 Del. 440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K. P. Thomas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Advocate v. Bar Council of India, 1989 Supp (2) SCC 25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Kabeer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Mehra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T.M. and M.C. (P) Ltd. (1993) 2 SCC 185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Kanika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Joshi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State of Maharashtra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Budhikota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Subbarao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(1993) 3 SCC 71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Deshwal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Ravichandran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Iyer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Justice A.M.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Bhattacharjee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(1995) 5 SCC 457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Kritika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Sabharwal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P.D. Gupta v. 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(1997) 7 SCC 147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Kunika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Kanodia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District &amp; Sessions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Judge,Thiruvananthapuram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(1999) 3 SCC 614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Lovish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Gilhotra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Saxena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Prasad Sharma, (2000) 7 SCC 264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D.P.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Chadha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Triyugi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(2001) 2 SCC 221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Jain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Shambhu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Hanuman Das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Khatry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(2001) 6 SCC 1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Saeed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Bhupinder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 Sharma v. Bar Assn.,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Pathankot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(2002) 1 SCC 470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Shahkar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Condonation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 Delay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Mrinalini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Dayal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Legal Disability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Namrata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Mahendru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Exclusion of Time Under section 14 &amp; 15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Bhanot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Effect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acknowlegment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Under section 18 &amp; 19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Pranav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Advocate on record: Appointment process and role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Senior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Abvocate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Appointment process and role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Writ Petition under Supreme Court Rules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Saini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Election Petition under Supreme Court Rules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Riddihima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Gowel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Functions of State Bar Councils  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Rishabh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Karan Mehta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Functions of Bar Council of India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Rishabh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Maninderjeet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UOI, (2011) 11 SCALE 634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Rai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Registrar, Delhi High Court (2009) 8 SCC 106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Shefali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Gandhi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 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Arundhati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Roy, AIR 2002 SC 1375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Shikha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Shrivastava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Mrityunjoy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Das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Rahaman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AIR 2001 SC 1293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Shivangi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Bhuramal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Swami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Raghuveer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&amp; Ors. (Judgment delivered on 21st Oct 2016)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Perspective Publication v. State of Maharashtra, AIR 1970 SC 221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Narmada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Bachao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Andolan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UOI, AIR 1999 SC 3345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Siddhartha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Vasudev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SC Bar Association v. UOI, AIR 1998 SC 1895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Swastika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Pushpaben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&amp; others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Narandas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Badani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AIR 1979 SC 1536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Saxena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Daroga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v. B 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(2004) 5 SCC 26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Tanmeet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Kohli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Pravin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C. Shah v. K.A.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Ali, (2001) 8 SCC 650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Registrar, Delhi High Court (2009) 8 SCC 106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Upmanu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 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(1995) 2 SCC 584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Uday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Anees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Ahmed v. University of Delhi, AIR 2002 Del. 440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Vaibhav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Advocate v. Bar Council of India, 1989 Supp (2) SCC 25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Vaishali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Kamra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v. T.M. and M.C. (P) Ltd. (1993) 2 SCC 185</w:t>
            </w:r>
          </w:p>
        </w:tc>
      </w:tr>
      <w:tr w:rsidR="009F5A2E" w:rsidTr="009F5A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Talwar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E" w:rsidRDefault="009F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State of Maharashtra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Budhikota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Subbarao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(1993) 3 SCC 71</w:t>
            </w:r>
          </w:p>
        </w:tc>
      </w:tr>
    </w:tbl>
    <w:p w:rsidR="00E6794F" w:rsidRDefault="00E6794F"/>
    <w:sectPr w:rsidR="00E6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A17"/>
    <w:multiLevelType w:val="hybridMultilevel"/>
    <w:tmpl w:val="DC98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F5A2E"/>
    <w:rsid w:val="009F5A2E"/>
    <w:rsid w:val="00E6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</dc:creator>
  <cp:keywords/>
  <dc:description/>
  <cp:lastModifiedBy>garima</cp:lastModifiedBy>
  <cp:revision>2</cp:revision>
  <dcterms:created xsi:type="dcterms:W3CDTF">2019-10-03T02:14:00Z</dcterms:created>
  <dcterms:modified xsi:type="dcterms:W3CDTF">2019-10-03T02:23:00Z</dcterms:modified>
</cp:coreProperties>
</file>