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34"/>
        <w:gridCol w:w="2305"/>
      </w:tblGrid>
      <w:tr w:rsidR="00C830C0" w:rsidRPr="00AB2695" w:rsidTr="0033196A">
        <w:trPr>
          <w:trHeight w:val="557"/>
        </w:trPr>
        <w:tc>
          <w:tcPr>
            <w:tcW w:w="683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30C0" w:rsidRPr="00913BFF" w:rsidRDefault="00C830C0" w:rsidP="00913BFF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13BFF">
              <w:rPr>
                <w:rFonts w:ascii="Arial" w:hAnsi="Arial" w:cs="Arial"/>
                <w:b/>
                <w:sz w:val="28"/>
                <w:szCs w:val="28"/>
              </w:rPr>
              <w:t xml:space="preserve">St Seraphim’s </w:t>
            </w:r>
            <w:r w:rsidR="00913BFF">
              <w:rPr>
                <w:rFonts w:ascii="Arial" w:hAnsi="Arial" w:cs="Arial"/>
                <w:b/>
                <w:sz w:val="28"/>
                <w:szCs w:val="28"/>
              </w:rPr>
              <w:t>Icon &amp;</w:t>
            </w:r>
            <w:r w:rsidRPr="00913BFF">
              <w:rPr>
                <w:rFonts w:ascii="Arial" w:hAnsi="Arial" w:cs="Arial"/>
                <w:b/>
                <w:sz w:val="28"/>
                <w:szCs w:val="28"/>
              </w:rPr>
              <w:t xml:space="preserve"> Railway Heritage Museum</w:t>
            </w:r>
          </w:p>
        </w:tc>
        <w:tc>
          <w:tcPr>
            <w:tcW w:w="2305" w:type="dxa"/>
            <w:vMerge w:val="restar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830C0" w:rsidRPr="00AB2695" w:rsidRDefault="00F50C45" w:rsidP="00F50C45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2A6B9CE" wp14:editId="31330E92">
                  <wp:extent cx="1438910" cy="87820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0C0" w:rsidRPr="00AB2695" w:rsidTr="0033196A">
        <w:trPr>
          <w:trHeight w:val="835"/>
        </w:trPr>
        <w:tc>
          <w:tcPr>
            <w:tcW w:w="683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830C0" w:rsidRPr="008A6341" w:rsidRDefault="00C830C0" w:rsidP="00913BFF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T</w:t>
            </w:r>
            <w:r w:rsidRPr="008A6341">
              <w:rPr>
                <w:rFonts w:ascii="Arial" w:hAnsi="Arial" w:cs="Arial"/>
                <w:sz w:val="28"/>
                <w:szCs w:val="28"/>
              </w:rPr>
              <w:t xml:space="preserve">itle:  </w:t>
            </w:r>
          </w:p>
          <w:p w:rsidR="00C830C0" w:rsidRPr="00DD73D2" w:rsidRDefault="00913BFF" w:rsidP="00913BFF">
            <w:pPr>
              <w:tabs>
                <w:tab w:val="left" w:pos="11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Documentation &amp;</w:t>
            </w:r>
            <w:r w:rsidR="00C830C0" w:rsidRPr="00DD73D2">
              <w:rPr>
                <w:rFonts w:ascii="Arial" w:hAnsi="Arial" w:cs="Arial"/>
                <w:b/>
                <w:sz w:val="28"/>
                <w:szCs w:val="28"/>
              </w:rPr>
              <w:t xml:space="preserve"> Archiving Lead Volunteer </w:t>
            </w:r>
          </w:p>
        </w:tc>
        <w:tc>
          <w:tcPr>
            <w:tcW w:w="2305" w:type="dxa"/>
            <w:vMerge/>
            <w:tcBorders>
              <w:left w:val="nil"/>
            </w:tcBorders>
            <w:shd w:val="clear" w:color="auto" w:fill="FFFFFF" w:themeFill="background1"/>
          </w:tcPr>
          <w:p w:rsidR="00C830C0" w:rsidRPr="00AB2695" w:rsidRDefault="00C830C0" w:rsidP="00976AA4">
            <w:pPr>
              <w:tabs>
                <w:tab w:val="left" w:pos="1155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976AA4" w:rsidRPr="00DD73D2" w:rsidTr="00913BFF">
        <w:trPr>
          <w:trHeight w:val="283"/>
        </w:trPr>
        <w:tc>
          <w:tcPr>
            <w:tcW w:w="9139" w:type="dxa"/>
            <w:gridSpan w:val="2"/>
            <w:shd w:val="clear" w:color="auto" w:fill="92CDDC" w:themeFill="accent5" w:themeFillTint="99"/>
            <w:vAlign w:val="center"/>
          </w:tcPr>
          <w:p w:rsidR="00976AA4" w:rsidRPr="00DD73D2" w:rsidRDefault="00F50C45" w:rsidP="00011D28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DD73D2">
              <w:rPr>
                <w:rFonts w:ascii="Arial" w:hAnsi="Arial" w:cs="Arial"/>
                <w:b/>
                <w:sz w:val="24"/>
                <w:szCs w:val="24"/>
              </w:rPr>
              <w:t>ganisation D</w:t>
            </w:r>
            <w:r w:rsidR="00976AA4" w:rsidRPr="00DD73D2">
              <w:rPr>
                <w:rFonts w:ascii="Arial" w:hAnsi="Arial" w:cs="Arial"/>
                <w:b/>
                <w:sz w:val="24"/>
                <w:szCs w:val="24"/>
              </w:rPr>
              <w:t>escription</w:t>
            </w:r>
          </w:p>
        </w:tc>
      </w:tr>
      <w:tr w:rsidR="00976AA4" w:rsidRPr="00DD73D2" w:rsidTr="00913BFF">
        <w:tc>
          <w:tcPr>
            <w:tcW w:w="9139" w:type="dxa"/>
            <w:gridSpan w:val="2"/>
          </w:tcPr>
          <w:p w:rsidR="00DD73D2" w:rsidRDefault="00976AA4" w:rsidP="002D424D">
            <w:pPr>
              <w:tabs>
                <w:tab w:val="left" w:pos="1155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St. Seraphim’s Icon and Railway Heritage museum is located in the former railwa</w:t>
            </w:r>
            <w:r w:rsid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station in Little Walsingham.  </w:t>
            </w:r>
            <w:r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museum’s primary collection </w:t>
            </w:r>
            <w:r w:rsidR="00B54D16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comprises</w:t>
            </w:r>
            <w:r w:rsid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hand-painted icons, drawings and tracings, icon painting </w:t>
            </w:r>
            <w:r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materials, documentation 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483535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equipment from the two Orthodox Icon</w:t>
            </w:r>
            <w:r w:rsidR="00B54D16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painters on whose work 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collection</w:t>
            </w:r>
            <w:r w:rsidR="00B54D16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based</w:t>
            </w:r>
            <w:r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. The collection also includes objects, photographs and docume</w:t>
            </w:r>
            <w:r w:rsidR="00DB39EB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nt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ation relating to the railway, and memories and newspaper cuttings relating to pilgrimage.</w:t>
            </w:r>
            <w:r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T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museum was </w:t>
            </w:r>
            <w:r w:rsid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awarded M</w:t>
            </w:r>
            <w:r w:rsidR="00DD73D2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useum</w:t>
            </w:r>
            <w:r w:rsidR="002D42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ccreditation status in 2016.</w:t>
            </w:r>
          </w:p>
          <w:p w:rsidR="00976AA4" w:rsidRPr="00DD73D2" w:rsidRDefault="00DD73D2" w:rsidP="002D424D">
            <w:pPr>
              <w:tabs>
                <w:tab w:val="left" w:pos="1155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are seeking a Documentation and Archiving Lead 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Volunteer</w:t>
            </w:r>
            <w:r w:rsidR="00483535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71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join our team, </w:t>
            </w:r>
            <w:r w:rsidR="00483535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who will guide the </w:t>
            </w:r>
            <w:r w:rsidR="00AC1171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</w:t>
            </w:r>
            <w:r w:rsidR="00DB39EB" w:rsidRPr="00DD73D2">
              <w:rPr>
                <w:rFonts w:ascii="Arial" w:hAnsi="Arial" w:cs="Arial"/>
                <w:color w:val="000000" w:themeColor="text1"/>
                <w:sz w:val="24"/>
                <w:szCs w:val="24"/>
              </w:rPr>
              <w:t>ent of the documentation and archives.</w:t>
            </w:r>
          </w:p>
        </w:tc>
      </w:tr>
      <w:tr w:rsidR="00976AA4" w:rsidRPr="00DD73D2" w:rsidTr="00913BFF">
        <w:trPr>
          <w:trHeight w:val="283"/>
        </w:trPr>
        <w:tc>
          <w:tcPr>
            <w:tcW w:w="9139" w:type="dxa"/>
            <w:gridSpan w:val="2"/>
            <w:shd w:val="clear" w:color="auto" w:fill="92CDDC" w:themeFill="accent5" w:themeFillTint="99"/>
            <w:vAlign w:val="center"/>
          </w:tcPr>
          <w:p w:rsidR="00976AA4" w:rsidRPr="00DD73D2" w:rsidRDefault="00DD73D2" w:rsidP="00011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 of the R</w:t>
            </w:r>
            <w:r w:rsidR="00976AA4" w:rsidRPr="00DD73D2">
              <w:rPr>
                <w:rFonts w:ascii="Arial" w:hAnsi="Arial" w:cs="Arial"/>
                <w:b/>
                <w:sz w:val="24"/>
                <w:szCs w:val="24"/>
              </w:rPr>
              <w:t>ole</w:t>
            </w:r>
          </w:p>
        </w:tc>
      </w:tr>
      <w:tr w:rsidR="00976AA4" w:rsidRPr="00DD73D2" w:rsidTr="00913BFF">
        <w:tc>
          <w:tcPr>
            <w:tcW w:w="9139" w:type="dxa"/>
            <w:gridSpan w:val="2"/>
          </w:tcPr>
          <w:p w:rsidR="002D424D" w:rsidRDefault="004D103F" w:rsidP="002D424D">
            <w:pPr>
              <w:spacing w:before="120" w:after="12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Leading</w:t>
            </w:r>
            <w:r w:rsidR="00A8529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 continuing</w:t>
            </w:r>
            <w:r w:rsidR="00A8529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cataloguing of </w:t>
            </w:r>
            <w:r w:rsidR="00EF49E1" w:rsidRPr="00DD7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 collection, both physical</w:t>
            </w:r>
            <w:r w:rsid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objects and archival material.</w:t>
            </w:r>
          </w:p>
          <w:p w:rsidR="002D424D" w:rsidRPr="00DD73D2" w:rsidRDefault="004D103F" w:rsidP="004D103F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Responsibility for m</w:t>
            </w:r>
            <w:r w:rsid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anaging the </w:t>
            </w:r>
            <w:r w:rsidR="00F43F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re-application </w:t>
            </w:r>
            <w:r w:rsid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process for</w:t>
            </w:r>
            <w:r w:rsidR="00AB611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Museum A</w:t>
            </w:r>
            <w:r w:rsidR="002D424D" w:rsidRP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ccreditation, including associated documentation </w:t>
            </w:r>
            <w:r w:rsidR="00AB611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2D424D" w:rsidRPr="002D42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reviews.</w:t>
            </w:r>
          </w:p>
        </w:tc>
      </w:tr>
      <w:tr w:rsidR="00976AA4" w:rsidRPr="00DD73D2" w:rsidTr="00913BFF">
        <w:trPr>
          <w:trHeight w:val="283"/>
        </w:trPr>
        <w:tc>
          <w:tcPr>
            <w:tcW w:w="9139" w:type="dxa"/>
            <w:gridSpan w:val="2"/>
            <w:shd w:val="clear" w:color="auto" w:fill="92CDDC" w:themeFill="accent5" w:themeFillTint="99"/>
            <w:vAlign w:val="center"/>
          </w:tcPr>
          <w:p w:rsidR="00976AA4" w:rsidRPr="00DD73D2" w:rsidRDefault="00011D28" w:rsidP="00011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 Activities </w:t>
            </w:r>
            <w:r w:rsidR="00DD73D2">
              <w:rPr>
                <w:rFonts w:ascii="Arial" w:hAnsi="Arial" w:cs="Arial"/>
                <w:b/>
                <w:sz w:val="24"/>
                <w:szCs w:val="24"/>
              </w:rPr>
              <w:t>of the R</w:t>
            </w:r>
            <w:r w:rsidR="00976AA4" w:rsidRPr="00DD73D2">
              <w:rPr>
                <w:rFonts w:ascii="Arial" w:hAnsi="Arial" w:cs="Arial"/>
                <w:b/>
                <w:sz w:val="24"/>
                <w:szCs w:val="24"/>
              </w:rPr>
              <w:t>ole</w:t>
            </w:r>
          </w:p>
        </w:tc>
      </w:tr>
      <w:tr w:rsidR="00976AA4" w:rsidRPr="00DD73D2" w:rsidTr="00913BFF">
        <w:tc>
          <w:tcPr>
            <w:tcW w:w="9139" w:type="dxa"/>
            <w:gridSpan w:val="2"/>
          </w:tcPr>
          <w:p w:rsidR="00E83359" w:rsidRDefault="00E83359" w:rsidP="003D74CA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 xml:space="preserve">Following </w:t>
            </w:r>
            <w:r w:rsidR="003F3EBB">
              <w:rPr>
                <w:rFonts w:ascii="Arial" w:hAnsi="Arial" w:cs="Arial"/>
                <w:sz w:val="24"/>
                <w:szCs w:val="24"/>
              </w:rPr>
              <w:t>priorities set by the trust, this</w:t>
            </w:r>
            <w:r w:rsidRPr="00DD73D2">
              <w:rPr>
                <w:rFonts w:ascii="Arial" w:hAnsi="Arial" w:cs="Arial"/>
                <w:sz w:val="24"/>
                <w:szCs w:val="24"/>
              </w:rPr>
              <w:t xml:space="preserve"> role will involve cataloguing, dating, indexing a</w:t>
            </w:r>
            <w:r w:rsidR="008315E5">
              <w:rPr>
                <w:rFonts w:ascii="Arial" w:hAnsi="Arial" w:cs="Arial"/>
                <w:sz w:val="24"/>
                <w:szCs w:val="24"/>
              </w:rPr>
              <w:t>nd re-boxing archival materials.</w:t>
            </w:r>
          </w:p>
          <w:p w:rsidR="008315E5" w:rsidRPr="00011D28" w:rsidRDefault="002D424D" w:rsidP="003F3EBB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83359" w:rsidRPr="00DD73D2">
              <w:rPr>
                <w:rFonts w:ascii="Arial" w:hAnsi="Arial" w:cs="Arial"/>
                <w:sz w:val="24"/>
                <w:szCs w:val="24"/>
              </w:rPr>
              <w:t>ataloguing materials from th</w:t>
            </w:r>
            <w:r w:rsidR="003F3EBB">
              <w:rPr>
                <w:rFonts w:ascii="Arial" w:hAnsi="Arial" w:cs="Arial"/>
                <w:sz w:val="24"/>
                <w:szCs w:val="24"/>
              </w:rPr>
              <w:t>e collection onto the approved Collections Management Database</w:t>
            </w:r>
            <w:r w:rsidR="008315E5">
              <w:rPr>
                <w:rFonts w:ascii="Arial" w:hAnsi="Arial" w:cs="Arial"/>
                <w:sz w:val="24"/>
                <w:szCs w:val="24"/>
              </w:rPr>
              <w:t>, Adlib.</w:t>
            </w:r>
          </w:p>
        </w:tc>
      </w:tr>
      <w:tr w:rsidR="00326B12" w:rsidRPr="00DD73D2" w:rsidTr="00913BFF">
        <w:trPr>
          <w:trHeight w:val="283"/>
        </w:trPr>
        <w:tc>
          <w:tcPr>
            <w:tcW w:w="9139" w:type="dxa"/>
            <w:gridSpan w:val="2"/>
            <w:shd w:val="clear" w:color="auto" w:fill="92CDDC" w:themeFill="accent5" w:themeFillTint="99"/>
            <w:vAlign w:val="center"/>
          </w:tcPr>
          <w:p w:rsidR="00326B12" w:rsidRPr="00DD73D2" w:rsidRDefault="005665EE" w:rsidP="00DD73D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DD73D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866DF" w:rsidRPr="00DD73D2">
              <w:rPr>
                <w:rFonts w:ascii="Arial" w:hAnsi="Arial" w:cs="Arial"/>
                <w:b/>
                <w:sz w:val="24"/>
                <w:szCs w:val="24"/>
              </w:rPr>
              <w:t>kills</w:t>
            </w:r>
          </w:p>
        </w:tc>
      </w:tr>
      <w:tr w:rsidR="00326B12" w:rsidRPr="00DD73D2" w:rsidTr="00913BFF">
        <w:trPr>
          <w:trHeight w:val="1124"/>
        </w:trPr>
        <w:tc>
          <w:tcPr>
            <w:tcW w:w="9139" w:type="dxa"/>
            <w:gridSpan w:val="2"/>
            <w:shd w:val="clear" w:color="auto" w:fill="FFFFFF" w:themeFill="background1"/>
          </w:tcPr>
          <w:p w:rsidR="002D424D" w:rsidRPr="002D424D" w:rsidRDefault="003F3EBB" w:rsidP="003D74CA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museum uses Adlib as their Collections Management D</w:t>
            </w:r>
            <w:r w:rsidR="002D424D" w:rsidRPr="002D424D">
              <w:rPr>
                <w:rFonts w:ascii="Arial" w:hAnsi="Arial" w:cs="Arial"/>
                <w:sz w:val="24"/>
                <w:szCs w:val="24"/>
              </w:rPr>
              <w:t xml:space="preserve">atabase and the </w:t>
            </w:r>
            <w:r w:rsidR="005E5153"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="002D424D" w:rsidRPr="002D424D">
              <w:rPr>
                <w:rFonts w:ascii="Arial" w:hAnsi="Arial" w:cs="Arial"/>
                <w:sz w:val="24"/>
                <w:szCs w:val="24"/>
              </w:rPr>
              <w:t>will either be famili</w:t>
            </w:r>
            <w:r w:rsidR="003271CF">
              <w:rPr>
                <w:rFonts w:ascii="Arial" w:hAnsi="Arial" w:cs="Arial"/>
                <w:sz w:val="24"/>
                <w:szCs w:val="24"/>
              </w:rPr>
              <w:t>ar with this software or</w:t>
            </w:r>
            <w:r w:rsidR="002D424D" w:rsidRPr="002D4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119">
              <w:rPr>
                <w:rFonts w:ascii="Arial" w:hAnsi="Arial" w:cs="Arial"/>
                <w:sz w:val="24"/>
                <w:szCs w:val="24"/>
              </w:rPr>
              <w:t>willing</w:t>
            </w:r>
            <w:r w:rsidR="002D424D" w:rsidRPr="002D424D">
              <w:rPr>
                <w:rFonts w:ascii="Arial" w:hAnsi="Arial" w:cs="Arial"/>
                <w:sz w:val="24"/>
                <w:szCs w:val="24"/>
              </w:rPr>
              <w:t xml:space="preserve"> to learn.</w:t>
            </w:r>
            <w:r w:rsidR="00AB6119">
              <w:rPr>
                <w:rFonts w:ascii="Arial" w:hAnsi="Arial" w:cs="Arial"/>
                <w:sz w:val="24"/>
                <w:szCs w:val="24"/>
              </w:rPr>
              <w:t xml:space="preserve">  Funding is available if required.</w:t>
            </w:r>
            <w:r w:rsidR="002D424D" w:rsidRPr="002D42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FEE" w:rsidRPr="00DD73D2" w:rsidRDefault="00AB6119" w:rsidP="003D74CA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IT skills, including Microsoft O</w:t>
            </w:r>
            <w:r w:rsidR="006F5FEE" w:rsidRPr="00DD73D2">
              <w:rPr>
                <w:rFonts w:ascii="Arial" w:hAnsi="Arial" w:cs="Arial"/>
                <w:sz w:val="24"/>
                <w:szCs w:val="24"/>
              </w:rPr>
              <w:t xml:space="preserve">ffice </w:t>
            </w:r>
          </w:p>
          <w:p w:rsidR="00326B12" w:rsidRPr="00DD73D2" w:rsidRDefault="00326B12" w:rsidP="003D74CA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  <w:p w:rsidR="00AC1171" w:rsidRPr="00DD73D2" w:rsidRDefault="00326B12" w:rsidP="003D74CA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Organisation</w:t>
            </w:r>
            <w:r w:rsidR="00DB39EB" w:rsidRPr="00DD73D2">
              <w:rPr>
                <w:rFonts w:ascii="Arial" w:hAnsi="Arial" w:cs="Arial"/>
                <w:sz w:val="24"/>
                <w:szCs w:val="24"/>
              </w:rPr>
              <w:t>al skills</w:t>
            </w:r>
          </w:p>
          <w:p w:rsidR="00E83359" w:rsidRPr="00DD73D2" w:rsidRDefault="00E83359" w:rsidP="003D74CA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Working as part of a team</w:t>
            </w:r>
          </w:p>
          <w:p w:rsidR="00326B12" w:rsidRPr="00AB6119" w:rsidRDefault="00AB6119" w:rsidP="00AB6119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 for working with unique collections</w:t>
            </w:r>
          </w:p>
          <w:p w:rsidR="00AB6119" w:rsidRPr="00AB6119" w:rsidRDefault="00AB6119" w:rsidP="00AB6119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B6119">
              <w:rPr>
                <w:rFonts w:ascii="Arial" w:hAnsi="Arial" w:cs="Arial"/>
                <w:sz w:val="24"/>
                <w:szCs w:val="24"/>
              </w:rPr>
              <w:t xml:space="preserve">Ideally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Pr="00AB6119">
              <w:rPr>
                <w:rFonts w:ascii="Arial" w:hAnsi="Arial" w:cs="Arial"/>
                <w:sz w:val="24"/>
                <w:szCs w:val="24"/>
              </w:rPr>
              <w:t xml:space="preserve"> an int</w:t>
            </w:r>
            <w:r>
              <w:rPr>
                <w:rFonts w:ascii="Arial" w:hAnsi="Arial" w:cs="Arial"/>
                <w:sz w:val="24"/>
                <w:szCs w:val="24"/>
              </w:rPr>
              <w:t>erest in Museums and Heritage, collections, a</w:t>
            </w:r>
            <w:r w:rsidRPr="00AB6119">
              <w:rPr>
                <w:rFonts w:ascii="Arial" w:hAnsi="Arial" w:cs="Arial"/>
                <w:sz w:val="24"/>
                <w:szCs w:val="24"/>
              </w:rPr>
              <w:t>rchiving, an</w:t>
            </w:r>
            <w:r>
              <w:rPr>
                <w:rFonts w:ascii="Arial" w:hAnsi="Arial" w:cs="Arial"/>
                <w:sz w:val="24"/>
                <w:szCs w:val="24"/>
              </w:rPr>
              <w:t>d c</w:t>
            </w:r>
            <w:r w:rsidRPr="00AB6119">
              <w:rPr>
                <w:rFonts w:ascii="Arial" w:hAnsi="Arial" w:cs="Arial"/>
                <w:sz w:val="24"/>
                <w:szCs w:val="24"/>
              </w:rPr>
              <w:t>ataloguing</w:t>
            </w:r>
          </w:p>
        </w:tc>
      </w:tr>
    </w:tbl>
    <w:p w:rsidR="0033196A" w:rsidRDefault="0033196A"/>
    <w:tbl>
      <w:tblPr>
        <w:tblStyle w:val="TableGrid"/>
        <w:tblW w:w="4944" w:type="pct"/>
        <w:tblLayout w:type="fixed"/>
        <w:tblLook w:val="04A0" w:firstRow="1" w:lastRow="0" w:firstColumn="1" w:lastColumn="0" w:noHBand="0" w:noVBand="1"/>
      </w:tblPr>
      <w:tblGrid>
        <w:gridCol w:w="9138"/>
      </w:tblGrid>
      <w:tr w:rsidR="00976AA4" w:rsidRPr="00DD73D2" w:rsidTr="0033196A">
        <w:trPr>
          <w:trHeight w:val="283"/>
        </w:trPr>
        <w:tc>
          <w:tcPr>
            <w:tcW w:w="9139" w:type="dxa"/>
            <w:shd w:val="clear" w:color="auto" w:fill="92CDDC" w:themeFill="accent5" w:themeFillTint="99"/>
            <w:vAlign w:val="center"/>
          </w:tcPr>
          <w:p w:rsidR="00976AA4" w:rsidRPr="00DD73D2" w:rsidRDefault="00DD73D2" w:rsidP="00DD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and S</w:t>
            </w:r>
            <w:r w:rsidR="006F5FEE" w:rsidRPr="00DD73D2">
              <w:rPr>
                <w:rFonts w:ascii="Arial" w:hAnsi="Arial" w:cs="Arial"/>
                <w:b/>
                <w:sz w:val="24"/>
                <w:szCs w:val="24"/>
              </w:rPr>
              <w:t xml:space="preserve">upport </w:t>
            </w:r>
          </w:p>
        </w:tc>
      </w:tr>
      <w:tr w:rsidR="00976AA4" w:rsidRPr="00DD73D2" w:rsidTr="0033196A">
        <w:tc>
          <w:tcPr>
            <w:tcW w:w="9139" w:type="dxa"/>
            <w:shd w:val="clear" w:color="auto" w:fill="FFFFFF" w:themeFill="background1"/>
          </w:tcPr>
          <w:p w:rsidR="00AB6119" w:rsidRPr="00AB6119" w:rsidRDefault="00AB6119" w:rsidP="00AB6119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6119">
              <w:rPr>
                <w:rFonts w:ascii="Arial" w:hAnsi="Arial" w:cs="Arial"/>
                <w:sz w:val="24"/>
                <w:szCs w:val="24"/>
              </w:rPr>
              <w:t>Training is provided through Share Museums East and other relevant bodies.</w:t>
            </w:r>
          </w:p>
          <w:p w:rsidR="00976AA4" w:rsidRPr="00DD73D2" w:rsidRDefault="00452779" w:rsidP="00AB6119">
            <w:pPr>
              <w:pStyle w:val="ListParagraph"/>
              <w:numPr>
                <w:ilvl w:val="0"/>
                <w:numId w:val="6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Induction process</w:t>
            </w:r>
          </w:p>
          <w:p w:rsidR="0082378B" w:rsidRPr="00DD73D2" w:rsidRDefault="0082378B" w:rsidP="00AB6119">
            <w:pPr>
              <w:pStyle w:val="ListParagraph"/>
              <w:numPr>
                <w:ilvl w:val="0"/>
                <w:numId w:val="6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Collections management</w:t>
            </w:r>
          </w:p>
          <w:p w:rsidR="00976AA4" w:rsidRPr="00DD73D2" w:rsidRDefault="00976AA4" w:rsidP="00AB6119">
            <w:pPr>
              <w:pStyle w:val="ListParagraph"/>
              <w:numPr>
                <w:ilvl w:val="0"/>
                <w:numId w:val="2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How to use Adlib software</w:t>
            </w:r>
          </w:p>
          <w:p w:rsidR="00976AA4" w:rsidRPr="00DD73D2" w:rsidRDefault="00C866DF" w:rsidP="00011D28">
            <w:pPr>
              <w:pStyle w:val="ListParagraph"/>
              <w:numPr>
                <w:ilvl w:val="0"/>
                <w:numId w:val="2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Supervision and ongoing sup</w:t>
            </w:r>
            <w:r w:rsidR="00111427"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976AA4" w:rsidRPr="00DD73D2" w:rsidTr="0033196A">
        <w:trPr>
          <w:trHeight w:val="283"/>
        </w:trPr>
        <w:tc>
          <w:tcPr>
            <w:tcW w:w="9139" w:type="dxa"/>
            <w:shd w:val="clear" w:color="auto" w:fill="92CDDC" w:themeFill="accent5" w:themeFillTint="99"/>
            <w:vAlign w:val="center"/>
          </w:tcPr>
          <w:p w:rsidR="00976AA4" w:rsidRPr="00DD73D2" w:rsidRDefault="00976AA4" w:rsidP="00DD73D2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D73D2">
              <w:rPr>
                <w:rFonts w:ascii="Arial" w:hAnsi="Arial" w:cs="Arial"/>
                <w:b/>
                <w:sz w:val="24"/>
                <w:szCs w:val="24"/>
              </w:rPr>
              <w:t>Benefits</w:t>
            </w:r>
            <w:r w:rsidR="005665EE">
              <w:rPr>
                <w:rFonts w:ascii="Arial" w:hAnsi="Arial" w:cs="Arial"/>
                <w:b/>
                <w:sz w:val="24"/>
                <w:szCs w:val="24"/>
              </w:rPr>
              <w:t xml:space="preserve"> from this Role</w:t>
            </w:r>
          </w:p>
        </w:tc>
      </w:tr>
      <w:tr w:rsidR="00976AA4" w:rsidRPr="00DD73D2" w:rsidTr="0033196A">
        <w:trPr>
          <w:trHeight w:val="441"/>
        </w:trPr>
        <w:tc>
          <w:tcPr>
            <w:tcW w:w="9139" w:type="dxa"/>
            <w:shd w:val="clear" w:color="auto" w:fill="FFFFFF" w:themeFill="background1"/>
          </w:tcPr>
          <w:p w:rsidR="00976AA4" w:rsidRPr="00DD73D2" w:rsidRDefault="00AC1171" w:rsidP="00111427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Training will be provided</w:t>
            </w:r>
            <w:r w:rsidR="00B54D16" w:rsidRPr="00DD73D2">
              <w:rPr>
                <w:rFonts w:ascii="Arial" w:hAnsi="Arial" w:cs="Arial"/>
                <w:sz w:val="24"/>
                <w:szCs w:val="24"/>
              </w:rPr>
              <w:t>, including</w:t>
            </w:r>
            <w:r w:rsidR="00483535" w:rsidRPr="00DD7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EBB">
              <w:rPr>
                <w:rFonts w:ascii="Arial" w:hAnsi="Arial" w:cs="Arial"/>
                <w:sz w:val="24"/>
                <w:szCs w:val="24"/>
              </w:rPr>
              <w:t xml:space="preserve">on Museum </w:t>
            </w:r>
            <w:r w:rsidR="003271CF">
              <w:rPr>
                <w:rFonts w:ascii="Arial" w:hAnsi="Arial" w:cs="Arial"/>
                <w:sz w:val="24"/>
                <w:szCs w:val="24"/>
              </w:rPr>
              <w:t>Accreditation</w:t>
            </w:r>
          </w:p>
          <w:p w:rsidR="00483535" w:rsidRPr="00DD73D2" w:rsidRDefault="003F3EBB" w:rsidP="00111427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unique experience, </w:t>
            </w:r>
            <w:r w:rsidR="00483535" w:rsidRPr="00DD73D2">
              <w:rPr>
                <w:rFonts w:ascii="Arial" w:hAnsi="Arial" w:cs="Arial"/>
                <w:sz w:val="24"/>
                <w:szCs w:val="24"/>
              </w:rPr>
              <w:t xml:space="preserve">St Seraphim’s </w:t>
            </w:r>
            <w:r>
              <w:rPr>
                <w:rFonts w:ascii="Arial" w:hAnsi="Arial" w:cs="Arial"/>
                <w:sz w:val="24"/>
                <w:szCs w:val="24"/>
              </w:rPr>
              <w:t>is the only i</w:t>
            </w:r>
            <w:r w:rsidR="00B54D16" w:rsidRPr="00DD73D2">
              <w:rPr>
                <w:rFonts w:ascii="Arial" w:hAnsi="Arial" w:cs="Arial"/>
                <w:sz w:val="24"/>
                <w:szCs w:val="24"/>
              </w:rPr>
              <w:t>con museum in the UK</w:t>
            </w:r>
          </w:p>
          <w:p w:rsidR="00976AA4" w:rsidRPr="003F3EBB" w:rsidRDefault="00976AA4" w:rsidP="00111427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Be</w:t>
            </w:r>
            <w:r w:rsidR="003F3EBB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Pr="00DD73D2">
              <w:rPr>
                <w:rFonts w:ascii="Arial" w:hAnsi="Arial" w:cs="Arial"/>
                <w:sz w:val="24"/>
                <w:szCs w:val="24"/>
              </w:rPr>
              <w:t xml:space="preserve">part of a small </w:t>
            </w:r>
            <w:r w:rsidR="003F3EBB">
              <w:rPr>
                <w:rFonts w:ascii="Arial" w:hAnsi="Arial" w:cs="Arial"/>
                <w:sz w:val="24"/>
                <w:szCs w:val="24"/>
              </w:rPr>
              <w:t>and friendly group</w:t>
            </w:r>
          </w:p>
          <w:p w:rsidR="00976AA4" w:rsidRPr="003F3EBB" w:rsidRDefault="003F3EBB" w:rsidP="003F3EBB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ind w:left="714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3F3EBB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AC1171" w:rsidRPr="003F3EBB">
              <w:rPr>
                <w:rFonts w:ascii="Arial" w:hAnsi="Arial" w:cs="Arial"/>
                <w:sz w:val="24"/>
                <w:szCs w:val="24"/>
              </w:rPr>
              <w:t>w</w:t>
            </w:r>
            <w:r w:rsidR="003271CF" w:rsidRPr="003F3EBB">
              <w:rPr>
                <w:rFonts w:ascii="Arial" w:hAnsi="Arial" w:cs="Arial"/>
                <w:sz w:val="24"/>
                <w:szCs w:val="24"/>
              </w:rPr>
              <w:t>ork to</w:t>
            </w:r>
            <w:r>
              <w:rPr>
                <w:rFonts w:ascii="Arial" w:hAnsi="Arial" w:cs="Arial"/>
                <w:sz w:val="24"/>
                <w:szCs w:val="24"/>
              </w:rPr>
              <w:t xml:space="preserve">wards re-application for Museum </w:t>
            </w:r>
            <w:r w:rsidR="003271CF" w:rsidRPr="003F3EBB">
              <w:rPr>
                <w:rFonts w:ascii="Arial" w:hAnsi="Arial" w:cs="Arial"/>
                <w:sz w:val="24"/>
                <w:szCs w:val="24"/>
              </w:rPr>
              <w:t>A</w:t>
            </w:r>
            <w:r w:rsidR="00AC1171" w:rsidRPr="003F3EBB">
              <w:rPr>
                <w:rFonts w:ascii="Arial" w:hAnsi="Arial" w:cs="Arial"/>
                <w:sz w:val="24"/>
                <w:szCs w:val="24"/>
              </w:rPr>
              <w:t>ccreditation</w:t>
            </w:r>
            <w:r>
              <w:rPr>
                <w:rFonts w:ascii="Arial" w:hAnsi="Arial" w:cs="Arial"/>
                <w:sz w:val="24"/>
                <w:szCs w:val="24"/>
              </w:rPr>
              <w:t>, gaining a sense of achievement</w:t>
            </w:r>
          </w:p>
          <w:p w:rsidR="003271CF" w:rsidRPr="00AC5B15" w:rsidRDefault="00E2073F" w:rsidP="00AC5B15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opportunity</w:t>
            </w:r>
            <w:r w:rsidR="00AC5B15">
              <w:rPr>
                <w:rFonts w:ascii="Arial" w:hAnsi="Arial" w:cs="Arial"/>
                <w:sz w:val="24"/>
                <w:szCs w:val="24"/>
              </w:rPr>
              <w:t xml:space="preserve"> for p</w:t>
            </w:r>
            <w:r w:rsidR="00AC5B15" w:rsidRPr="00AC5B15">
              <w:rPr>
                <w:rFonts w:ascii="Arial" w:hAnsi="Arial" w:cs="Arial"/>
                <w:sz w:val="24"/>
                <w:szCs w:val="24"/>
              </w:rPr>
              <w:t xml:space="preserve">ersonal and career development </w:t>
            </w:r>
            <w:r w:rsidR="00AC5B15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AC5B15">
              <w:rPr>
                <w:rFonts w:ascii="Arial" w:hAnsi="Arial" w:cs="Arial"/>
                <w:sz w:val="24"/>
                <w:szCs w:val="24"/>
              </w:rPr>
              <w:t xml:space="preserve">enhancing existing </w:t>
            </w:r>
            <w:r>
              <w:rPr>
                <w:rFonts w:ascii="Arial" w:hAnsi="Arial" w:cs="Arial"/>
                <w:sz w:val="24"/>
                <w:szCs w:val="24"/>
              </w:rPr>
              <w:t xml:space="preserve">abilities, </w:t>
            </w:r>
            <w:r w:rsidR="00AC5B15">
              <w:rPr>
                <w:rFonts w:ascii="Arial" w:hAnsi="Arial" w:cs="Arial"/>
                <w:sz w:val="24"/>
                <w:szCs w:val="24"/>
              </w:rPr>
              <w:t>l</w:t>
            </w:r>
            <w:r w:rsidR="00AC5B15" w:rsidRPr="00AC5B15">
              <w:rPr>
                <w:rFonts w:ascii="Arial" w:hAnsi="Arial" w:cs="Arial"/>
                <w:sz w:val="24"/>
                <w:szCs w:val="24"/>
              </w:rPr>
              <w:t xml:space="preserve">earning new </w:t>
            </w:r>
            <w:r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AC5B1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C5B15" w:rsidRPr="00AC5B15">
              <w:rPr>
                <w:rFonts w:ascii="Arial" w:hAnsi="Arial" w:cs="Arial"/>
                <w:sz w:val="24"/>
                <w:szCs w:val="24"/>
              </w:rPr>
              <w:t>gaining experience</w:t>
            </w:r>
          </w:p>
          <w:p w:rsidR="003271CF" w:rsidRDefault="003F3EBB" w:rsidP="003271CF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C5B15">
              <w:rPr>
                <w:rFonts w:ascii="Arial" w:hAnsi="Arial" w:cs="Arial"/>
                <w:sz w:val="24"/>
                <w:szCs w:val="24"/>
              </w:rPr>
              <w:t xml:space="preserve">nhanced personal </w:t>
            </w:r>
            <w:r w:rsidR="003271CF" w:rsidRPr="003271CF">
              <w:rPr>
                <w:rFonts w:ascii="Arial" w:hAnsi="Arial" w:cs="Arial"/>
                <w:sz w:val="24"/>
                <w:szCs w:val="24"/>
              </w:rPr>
              <w:t>knowle</w:t>
            </w:r>
            <w:r>
              <w:rPr>
                <w:rFonts w:ascii="Arial" w:hAnsi="Arial" w:cs="Arial"/>
                <w:sz w:val="24"/>
                <w:szCs w:val="24"/>
              </w:rPr>
              <w:t>dge of history and i</w:t>
            </w:r>
            <w:r w:rsidR="003271CF">
              <w:rPr>
                <w:rFonts w:ascii="Arial" w:hAnsi="Arial" w:cs="Arial"/>
                <w:sz w:val="24"/>
                <w:szCs w:val="24"/>
              </w:rPr>
              <w:t xml:space="preserve">conography </w:t>
            </w:r>
          </w:p>
          <w:p w:rsidR="003271CF" w:rsidRPr="003271CF" w:rsidRDefault="003F3EBB" w:rsidP="003F3EBB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c</w:t>
            </w:r>
            <w:r w:rsidR="003271CF" w:rsidRPr="003271CF">
              <w:rPr>
                <w:rFonts w:ascii="Arial" w:hAnsi="Arial" w:cs="Arial"/>
                <w:sz w:val="24"/>
                <w:szCs w:val="24"/>
              </w:rPr>
              <w:t>onfidence through social interaction wit</w:t>
            </w:r>
            <w:r>
              <w:rPr>
                <w:rFonts w:ascii="Arial" w:hAnsi="Arial" w:cs="Arial"/>
                <w:sz w:val="24"/>
                <w:szCs w:val="24"/>
              </w:rPr>
              <w:t>h others</w:t>
            </w:r>
          </w:p>
        </w:tc>
      </w:tr>
      <w:tr w:rsidR="00976AA4" w:rsidRPr="00DD73D2" w:rsidTr="0033196A">
        <w:trPr>
          <w:trHeight w:val="283"/>
        </w:trPr>
        <w:tc>
          <w:tcPr>
            <w:tcW w:w="9139" w:type="dxa"/>
            <w:shd w:val="clear" w:color="auto" w:fill="92CDDC" w:themeFill="accent5" w:themeFillTint="99"/>
            <w:vAlign w:val="center"/>
          </w:tcPr>
          <w:p w:rsidR="00976AA4" w:rsidRPr="00DD73D2" w:rsidRDefault="006F5FEE" w:rsidP="00DD73D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D73D2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</w:p>
        </w:tc>
      </w:tr>
      <w:tr w:rsidR="00976AA4" w:rsidRPr="00DD73D2" w:rsidTr="0033196A">
        <w:trPr>
          <w:trHeight w:val="404"/>
        </w:trPr>
        <w:tc>
          <w:tcPr>
            <w:tcW w:w="9139" w:type="dxa"/>
            <w:shd w:val="clear" w:color="auto" w:fill="FFFFFF" w:themeFill="background1"/>
          </w:tcPr>
          <w:p w:rsidR="00976AA4" w:rsidRPr="00DD73D2" w:rsidRDefault="00B54D16" w:rsidP="00E2073F">
            <w:pPr>
              <w:tabs>
                <w:tab w:val="left" w:pos="1155"/>
              </w:tabs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73D2">
              <w:rPr>
                <w:rFonts w:ascii="Arial" w:hAnsi="Arial" w:cs="Arial"/>
                <w:sz w:val="24"/>
                <w:szCs w:val="24"/>
              </w:rPr>
              <w:t>One day per week</w:t>
            </w:r>
            <w:r w:rsidR="00FA1D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6AA4" w:rsidRPr="00DD73D2" w:rsidTr="0033196A">
        <w:trPr>
          <w:trHeight w:val="283"/>
        </w:trPr>
        <w:tc>
          <w:tcPr>
            <w:tcW w:w="9139" w:type="dxa"/>
            <w:shd w:val="clear" w:color="auto" w:fill="92CDDC" w:themeFill="accent5" w:themeFillTint="99"/>
            <w:vAlign w:val="center"/>
          </w:tcPr>
          <w:p w:rsidR="00976AA4" w:rsidRPr="00DD73D2" w:rsidRDefault="00DD73D2" w:rsidP="00011D28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</w:t>
            </w:r>
            <w:r w:rsidR="00976AA4" w:rsidRPr="00DD73D2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</w:p>
        </w:tc>
      </w:tr>
      <w:tr w:rsidR="00976AA4" w:rsidRPr="00DD73D2" w:rsidTr="0033196A">
        <w:trPr>
          <w:trHeight w:val="404"/>
        </w:trPr>
        <w:tc>
          <w:tcPr>
            <w:tcW w:w="9139" w:type="dxa"/>
            <w:shd w:val="clear" w:color="auto" w:fill="FFFFFF" w:themeFill="background1"/>
          </w:tcPr>
          <w:p w:rsidR="00976AA4" w:rsidRPr="00DD73D2" w:rsidRDefault="00AC1171" w:rsidP="00E2073F">
            <w:pPr>
              <w:spacing w:before="120" w:after="12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bookmarkStart w:id="1" w:name="_MailAutoSig"/>
            <w:r w:rsidRPr="00DD73D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Kirsty Gauntley</w:t>
            </w:r>
            <w:r w:rsidR="00111427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 xml:space="preserve">, </w:t>
            </w:r>
            <w:r w:rsidR="00976AA4" w:rsidRPr="00DD73D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Volunteer Coordinator</w:t>
            </w:r>
          </w:p>
          <w:p w:rsidR="00E2073F" w:rsidRDefault="00976AA4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DD73D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St. Seraphim’s</w:t>
            </w:r>
            <w:r w:rsidR="00E2073F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Trust</w:t>
            </w:r>
          </w:p>
          <w:p w:rsidR="00E2073F" w:rsidRDefault="00E2073F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St Seraphim’s</w:t>
            </w:r>
          </w:p>
          <w:p w:rsidR="00976AA4" w:rsidRPr="00DD73D2" w:rsidRDefault="00E2073F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Station Road</w:t>
            </w:r>
          </w:p>
          <w:p w:rsidR="00976AA4" w:rsidRPr="00DD73D2" w:rsidRDefault="00E2073F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Walsingham</w:t>
            </w:r>
          </w:p>
          <w:p w:rsidR="00976AA4" w:rsidRPr="00DD73D2" w:rsidRDefault="00E2073F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Norfolk</w:t>
            </w:r>
          </w:p>
          <w:p w:rsidR="00976AA4" w:rsidRDefault="00976AA4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DD73D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NR22 6EB</w:t>
            </w:r>
          </w:p>
          <w:p w:rsidR="00E2073F" w:rsidRPr="00DD73D2" w:rsidRDefault="00E2073F" w:rsidP="00E2073F">
            <w:pPr>
              <w:spacing w:before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</w:p>
          <w:p w:rsidR="005E4F4B" w:rsidRPr="00DD73D2" w:rsidRDefault="00E2073F" w:rsidP="00E2073F">
            <w:pPr>
              <w:spacing w:before="120" w:after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Tel:       </w:t>
            </w:r>
            <w:r w:rsidR="00976AA4" w:rsidRPr="00DD73D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01328 820610</w:t>
            </w:r>
            <w:bookmarkEnd w:id="1"/>
          </w:p>
          <w:p w:rsidR="005E4F4B" w:rsidRPr="00DD73D2" w:rsidRDefault="00111427" w:rsidP="00E2073F">
            <w:pPr>
              <w:spacing w:before="120" w:after="120" w:line="276" w:lineRule="auto"/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e</w:t>
            </w:r>
            <w:r w:rsidR="005E4F4B" w:rsidRPr="00DD73D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mail: </w:t>
            </w:r>
            <w:r w:rsidR="00E2073F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5E4F4B" w:rsidRPr="00DD73D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saint.seraphims@gmail.com</w:t>
            </w:r>
          </w:p>
          <w:p w:rsidR="00976AA4" w:rsidRPr="00DD73D2" w:rsidRDefault="00976AA4" w:rsidP="00976AA4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43F" w:rsidRPr="00DD73D2" w:rsidRDefault="00695C3B">
      <w:pPr>
        <w:rPr>
          <w:rFonts w:ascii="Arial" w:hAnsi="Arial" w:cs="Arial"/>
          <w:sz w:val="24"/>
          <w:szCs w:val="24"/>
        </w:rPr>
      </w:pPr>
    </w:p>
    <w:sectPr w:rsidR="0090643F" w:rsidRPr="00DD7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1F"/>
    <w:multiLevelType w:val="hybridMultilevel"/>
    <w:tmpl w:val="1720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1CA"/>
    <w:multiLevelType w:val="hybridMultilevel"/>
    <w:tmpl w:val="2A8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B1E"/>
    <w:multiLevelType w:val="hybridMultilevel"/>
    <w:tmpl w:val="70CA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4472"/>
    <w:multiLevelType w:val="hybridMultilevel"/>
    <w:tmpl w:val="F84E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6191"/>
    <w:multiLevelType w:val="multilevel"/>
    <w:tmpl w:val="800A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140C8"/>
    <w:multiLevelType w:val="hybridMultilevel"/>
    <w:tmpl w:val="EE66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5BA4"/>
    <w:multiLevelType w:val="hybridMultilevel"/>
    <w:tmpl w:val="CDFC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0444"/>
    <w:multiLevelType w:val="hybridMultilevel"/>
    <w:tmpl w:val="C15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2037"/>
    <w:multiLevelType w:val="hybridMultilevel"/>
    <w:tmpl w:val="27AE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A4"/>
    <w:rsid w:val="00011D28"/>
    <w:rsid w:val="00111427"/>
    <w:rsid w:val="001631FD"/>
    <w:rsid w:val="00246136"/>
    <w:rsid w:val="00266098"/>
    <w:rsid w:val="002D424D"/>
    <w:rsid w:val="00326B12"/>
    <w:rsid w:val="003271CF"/>
    <w:rsid w:val="0033196A"/>
    <w:rsid w:val="003462AD"/>
    <w:rsid w:val="003D74CA"/>
    <w:rsid w:val="003E10B2"/>
    <w:rsid w:val="003F3EBB"/>
    <w:rsid w:val="00452779"/>
    <w:rsid w:val="00464A93"/>
    <w:rsid w:val="00471436"/>
    <w:rsid w:val="00483535"/>
    <w:rsid w:val="004D103F"/>
    <w:rsid w:val="005665EE"/>
    <w:rsid w:val="005E4F4B"/>
    <w:rsid w:val="005E5153"/>
    <w:rsid w:val="00695C3B"/>
    <w:rsid w:val="006F5FEE"/>
    <w:rsid w:val="0082378B"/>
    <w:rsid w:val="008315E5"/>
    <w:rsid w:val="008464B2"/>
    <w:rsid w:val="00853EF4"/>
    <w:rsid w:val="008A6341"/>
    <w:rsid w:val="00913BFF"/>
    <w:rsid w:val="009429C6"/>
    <w:rsid w:val="00976AA4"/>
    <w:rsid w:val="00A85292"/>
    <w:rsid w:val="00AB2695"/>
    <w:rsid w:val="00AB6119"/>
    <w:rsid w:val="00AC1171"/>
    <w:rsid w:val="00AC5B15"/>
    <w:rsid w:val="00B54D16"/>
    <w:rsid w:val="00C16072"/>
    <w:rsid w:val="00C16AD0"/>
    <w:rsid w:val="00C830C0"/>
    <w:rsid w:val="00C866DF"/>
    <w:rsid w:val="00CC2DF1"/>
    <w:rsid w:val="00D1013F"/>
    <w:rsid w:val="00DB39EB"/>
    <w:rsid w:val="00DD73D2"/>
    <w:rsid w:val="00E2073F"/>
    <w:rsid w:val="00E83359"/>
    <w:rsid w:val="00EF49E1"/>
    <w:rsid w:val="00F43FF1"/>
    <w:rsid w:val="00F50C45"/>
    <w:rsid w:val="00FA1D80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8BD56-AA8C-4B60-9AE0-CB699E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Seraphims, Walsingham</dc:creator>
  <cp:lastModifiedBy>Sampson, Robin</cp:lastModifiedBy>
  <cp:revision>2</cp:revision>
  <dcterms:created xsi:type="dcterms:W3CDTF">2021-03-15T11:35:00Z</dcterms:created>
  <dcterms:modified xsi:type="dcterms:W3CDTF">2021-03-15T11:35:00Z</dcterms:modified>
</cp:coreProperties>
</file>