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FA37" w14:textId="0A6EE392" w:rsidR="001A742F" w:rsidRDefault="00000000">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 xml:space="preserve">Proposal </w:t>
      </w:r>
      <w:r w:rsidR="000E4C4C">
        <w:rPr>
          <w:rFonts w:ascii="Calibri" w:eastAsia="Calibri" w:hAnsi="Calibri" w:cs="Calibri"/>
          <w:b/>
          <w:color w:val="000000"/>
          <w:sz w:val="28"/>
          <w:szCs w:val="28"/>
        </w:rPr>
        <w:t>N</w:t>
      </w:r>
    </w:p>
    <w:p w14:paraId="5A66E626" w14:textId="77777777" w:rsidR="001A742F" w:rsidRDefault="00000000">
      <w:pPr>
        <w:ind w:right="-20"/>
        <w:rPr>
          <w:rFonts w:ascii="Calibri" w:eastAsia="Calibri" w:hAnsi="Calibri" w:cs="Calibri"/>
          <w:b/>
          <w:sz w:val="28"/>
          <w:szCs w:val="28"/>
        </w:rPr>
      </w:pPr>
      <w:r>
        <w:rPr>
          <w:rFonts w:ascii="Calibri" w:eastAsia="Calibri" w:hAnsi="Calibri" w:cs="Calibri"/>
          <w:b/>
          <w:sz w:val="28"/>
          <w:szCs w:val="28"/>
        </w:rPr>
        <w:t>Date Heard:</w:t>
      </w:r>
    </w:p>
    <w:p w14:paraId="3898154C" w14:textId="77777777" w:rsidR="001A742F" w:rsidRDefault="00000000">
      <w:pPr>
        <w:ind w:right="-20"/>
        <w:rPr>
          <w:rFonts w:ascii="Calibri" w:eastAsia="Calibri" w:hAnsi="Calibri" w:cs="Calibri"/>
          <w:b/>
          <w:sz w:val="28"/>
          <w:szCs w:val="28"/>
        </w:rPr>
      </w:pPr>
      <w:r>
        <w:rPr>
          <w:rFonts w:ascii="Calibri" w:eastAsia="Calibri" w:hAnsi="Calibri" w:cs="Calibri"/>
          <w:b/>
          <w:sz w:val="28"/>
          <w:szCs w:val="28"/>
        </w:rPr>
        <w:t>Vote:</w:t>
      </w:r>
    </w:p>
    <w:p w14:paraId="3D75E81D" w14:textId="77777777" w:rsidR="001A742F" w:rsidRDefault="001A742F">
      <w:pPr>
        <w:ind w:right="-20"/>
        <w:rPr>
          <w:rFonts w:ascii="Calibri" w:eastAsia="Calibri" w:hAnsi="Calibri" w:cs="Calibri"/>
          <w:b/>
          <w:sz w:val="28"/>
          <w:szCs w:val="28"/>
        </w:rPr>
      </w:pPr>
    </w:p>
    <w:p w14:paraId="6F5682C3" w14:textId="6E19CB8C" w:rsidR="001A742F" w:rsidRDefault="000E4C4C">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BYLAWS ARTICLE 11 – OTHER COMMITTEE (ALTERNATES)</w:t>
      </w:r>
    </w:p>
    <w:p w14:paraId="64E3780F" w14:textId="77777777" w:rsidR="001A742F" w:rsidRDefault="001A742F">
      <w:pPr>
        <w:pBdr>
          <w:top w:val="nil"/>
          <w:left w:val="nil"/>
          <w:bottom w:val="nil"/>
          <w:right w:val="nil"/>
          <w:between w:val="nil"/>
        </w:pBdr>
        <w:ind w:right="-20"/>
        <w:rPr>
          <w:rFonts w:ascii="Calibri" w:eastAsia="Calibri" w:hAnsi="Calibri" w:cs="Calibri"/>
          <w:b/>
          <w:color w:val="000000"/>
          <w:sz w:val="28"/>
          <w:szCs w:val="28"/>
        </w:rPr>
      </w:pPr>
    </w:p>
    <w:p w14:paraId="0581D628" w14:textId="029A3F83" w:rsidR="001A742F" w:rsidRDefault="00000000">
      <w:pPr>
        <w:pBdr>
          <w:top w:val="nil"/>
          <w:left w:val="nil"/>
          <w:bottom w:val="nil"/>
          <w:right w:val="nil"/>
          <w:between w:val="nil"/>
        </w:pBdr>
        <w:ind w:right="53"/>
        <w:rPr>
          <w:rFonts w:ascii="Arial" w:eastAsia="Arial" w:hAnsi="Arial" w:cs="Arial"/>
          <w:color w:val="000000"/>
        </w:rPr>
      </w:pPr>
      <w:r>
        <w:rPr>
          <w:rFonts w:ascii="Arial" w:eastAsia="Arial" w:hAnsi="Arial" w:cs="Arial"/>
          <w:b/>
          <w:color w:val="000000"/>
        </w:rPr>
        <w:t xml:space="preserve">Problem: </w:t>
      </w:r>
      <w:r w:rsidR="000E4C4C">
        <w:rPr>
          <w:rFonts w:ascii="Arial" w:eastAsia="Arial" w:hAnsi="Arial" w:cs="Arial"/>
          <w:color w:val="000000"/>
        </w:rPr>
        <w:t>As it stands, an unlimited number of alternates can be appointed which can be chaotic and unbalanced since alternates can generally debate and comment freely skewing the effective size of the committees.  And it is not necessary to have so many “spares” as the Affiliate can always fill vacancies in the primary or alternate appointee.</w:t>
      </w:r>
    </w:p>
    <w:p w14:paraId="610175ED" w14:textId="77777777" w:rsidR="001A742F" w:rsidRDefault="001A742F">
      <w:pPr>
        <w:rPr>
          <w:rFonts w:ascii="Arial" w:eastAsia="Arial" w:hAnsi="Arial" w:cs="Arial"/>
        </w:rPr>
      </w:pPr>
    </w:p>
    <w:p w14:paraId="1015E42F" w14:textId="7DA6A6EA" w:rsidR="001A742F" w:rsidRDefault="0000000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Solution: </w:t>
      </w:r>
      <w:r w:rsidR="000E4C4C">
        <w:rPr>
          <w:rFonts w:ascii="Arial" w:eastAsia="Arial" w:hAnsi="Arial" w:cs="Arial"/>
          <w:color w:val="000000"/>
        </w:rPr>
        <w:t>Allow one (1) alternate for each primary seat.</w:t>
      </w:r>
    </w:p>
    <w:p w14:paraId="32DFA5CF" w14:textId="77777777" w:rsidR="001A742F" w:rsidRDefault="001A742F">
      <w:pPr>
        <w:rPr>
          <w:rFonts w:ascii="Arial" w:eastAsia="Arial" w:hAnsi="Arial" w:cs="Arial"/>
        </w:rPr>
      </w:pPr>
    </w:p>
    <w:p w14:paraId="48E8BBA8" w14:textId="22566FFB" w:rsidR="001A742F" w:rsidRDefault="0000000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Benefits: </w:t>
      </w:r>
      <w:r w:rsidR="000E4C4C">
        <w:rPr>
          <w:rFonts w:ascii="Arial" w:eastAsia="Arial" w:hAnsi="Arial" w:cs="Arial"/>
          <w:color w:val="000000"/>
        </w:rPr>
        <w:t>Eliminates the chaos of differing alternate numbers while still serving the function of having alternates.</w:t>
      </w:r>
    </w:p>
    <w:p w14:paraId="2374047C" w14:textId="77777777" w:rsidR="001A742F" w:rsidRDefault="001A742F">
      <w:pPr>
        <w:pBdr>
          <w:top w:val="nil"/>
          <w:left w:val="nil"/>
          <w:bottom w:val="nil"/>
          <w:right w:val="nil"/>
          <w:between w:val="nil"/>
        </w:pBdr>
        <w:ind w:right="-20"/>
        <w:rPr>
          <w:rFonts w:ascii="Arial" w:eastAsia="Arial" w:hAnsi="Arial" w:cs="Arial"/>
          <w:color w:val="000000"/>
        </w:rPr>
      </w:pPr>
    </w:p>
    <w:p w14:paraId="34DCC477" w14:textId="77777777" w:rsidR="001A742F" w:rsidRDefault="001A742F"/>
    <w:tbl>
      <w:tblPr>
        <w:tblStyle w:val="a"/>
        <w:tblW w:w="9350" w:type="dxa"/>
        <w:tblLayout w:type="fixed"/>
        <w:tblLook w:val="0400" w:firstRow="0" w:lastRow="0" w:firstColumn="0" w:lastColumn="0" w:noHBand="0" w:noVBand="1"/>
      </w:tblPr>
      <w:tblGrid>
        <w:gridCol w:w="2910"/>
        <w:gridCol w:w="3209"/>
        <w:gridCol w:w="3231"/>
      </w:tblGrid>
      <w:tr w:rsidR="001A742F" w:rsidRPr="000E4C4C" w14:paraId="3ABD4F36" w14:textId="77777777">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9E4A5" w14:textId="77777777" w:rsidR="001A742F" w:rsidRPr="000E4C4C" w:rsidRDefault="00000000">
            <w:pPr>
              <w:rPr>
                <w:rFonts w:ascii="Arial" w:eastAsia="Arial" w:hAnsi="Arial" w:cs="Arial"/>
                <w:b/>
              </w:rPr>
            </w:pPr>
            <w:r w:rsidRPr="000E4C4C">
              <w:rPr>
                <w:rFonts w:ascii="Arial" w:eastAsia="Arial" w:hAnsi="Arial" w:cs="Arial"/>
                <w:b/>
                <w:color w:val="000000"/>
              </w:rPr>
              <w:t>Current Wording</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5587F" w14:textId="77777777" w:rsidR="001A742F" w:rsidRPr="000E4C4C" w:rsidRDefault="00000000">
            <w:pPr>
              <w:rPr>
                <w:rFonts w:ascii="Arial" w:eastAsia="Arial" w:hAnsi="Arial" w:cs="Arial"/>
                <w:b/>
              </w:rPr>
            </w:pPr>
            <w:r w:rsidRPr="000E4C4C">
              <w:rPr>
                <w:rFonts w:ascii="Arial" w:eastAsia="Arial" w:hAnsi="Arial" w:cs="Arial"/>
                <w:b/>
                <w:color w:val="000000"/>
              </w:rPr>
              <w:t>Proposed Amendment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0CFB6" w14:textId="77777777" w:rsidR="001A742F" w:rsidRPr="000E4C4C" w:rsidRDefault="00000000">
            <w:pPr>
              <w:rPr>
                <w:rFonts w:ascii="Arial" w:eastAsia="Arial" w:hAnsi="Arial" w:cs="Arial"/>
                <w:b/>
              </w:rPr>
            </w:pPr>
            <w:r w:rsidRPr="000E4C4C">
              <w:rPr>
                <w:rFonts w:ascii="Arial" w:eastAsia="Arial" w:hAnsi="Arial" w:cs="Arial"/>
                <w:b/>
                <w:color w:val="000000"/>
              </w:rPr>
              <w:t>If Adopted, Will Read</w:t>
            </w:r>
          </w:p>
        </w:tc>
      </w:tr>
      <w:tr w:rsidR="001A742F" w:rsidRPr="000E4C4C" w14:paraId="06F2AA74" w14:textId="77777777">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842FA" w14:textId="77777777" w:rsidR="000E4C4C" w:rsidRPr="000E4C4C" w:rsidRDefault="00000000" w:rsidP="000E4C4C">
            <w:pPr>
              <w:pStyle w:val="Heading2"/>
              <w:spacing w:before="0" w:after="0"/>
              <w:rPr>
                <w:rFonts w:ascii="Arial" w:hAnsi="Arial" w:cs="Arial"/>
                <w:sz w:val="24"/>
                <w:szCs w:val="24"/>
              </w:rPr>
            </w:pPr>
            <w:r w:rsidRPr="000E4C4C">
              <w:rPr>
                <w:rFonts w:ascii="Arial" w:eastAsia="Arial" w:hAnsi="Arial" w:cs="Arial"/>
                <w:sz w:val="20"/>
                <w:szCs w:val="20"/>
              </w:rPr>
              <w:t>[</w:t>
            </w:r>
            <w:r w:rsidR="000E4C4C" w:rsidRPr="000E4C4C">
              <w:rPr>
                <w:rFonts w:ascii="Arial" w:hAnsi="Arial" w:cs="Arial"/>
                <w:sz w:val="24"/>
                <w:szCs w:val="24"/>
              </w:rPr>
              <w:t>ARTICLE 11: OTHER COMMITTEES</w:t>
            </w:r>
          </w:p>
          <w:p w14:paraId="48CE1B01" w14:textId="303C77F1" w:rsidR="000E4C4C" w:rsidRPr="000E4C4C" w:rsidRDefault="000E4C4C" w:rsidP="000E4C4C">
            <w:pPr>
              <w:pStyle w:val="ListParagraph"/>
              <w:numPr>
                <w:ilvl w:val="0"/>
                <w:numId w:val="2"/>
              </w:numPr>
              <w:tabs>
                <w:tab w:val="left" w:pos="1440"/>
              </w:tabs>
              <w:spacing w:after="160" w:line="259" w:lineRule="auto"/>
              <w:rPr>
                <w:rFonts w:ascii="Arial" w:hAnsi="Arial" w:cs="Arial"/>
              </w:rPr>
            </w:pPr>
            <w:r w:rsidRPr="000E4C4C">
              <w:rPr>
                <w:rFonts w:ascii="Arial" w:hAnsi="Arial" w:cs="Arial"/>
              </w:rPr>
              <w:t xml:space="preserve">Ranked alternates may be named by the appointing bodies to fill any vacancies or absences in the convention committees.  </w:t>
            </w:r>
          </w:p>
          <w:p w14:paraId="5EC3E1B4" w14:textId="25EED952" w:rsidR="001A742F" w:rsidRPr="000E4C4C" w:rsidRDefault="00000000">
            <w:pPr>
              <w:spacing w:after="240"/>
              <w:rPr>
                <w:rFonts w:ascii="Arial" w:eastAsia="Arial" w:hAnsi="Arial" w:cs="Arial"/>
                <w:sz w:val="20"/>
                <w:szCs w:val="20"/>
              </w:rPr>
            </w:pPr>
            <w:r w:rsidRPr="000E4C4C">
              <w:rPr>
                <w:rFonts w:ascii="Arial" w:eastAsia="Arial" w:hAnsi="Arial" w:cs="Arial"/>
                <w:sz w:val="20"/>
                <w:szCs w:val="20"/>
              </w:rPr>
              <w:br/>
            </w:r>
            <w:r w:rsidRPr="000E4C4C">
              <w:rPr>
                <w:rFonts w:ascii="Arial" w:eastAsia="Arial" w:hAnsi="Arial" w:cs="Arial"/>
                <w:sz w:val="20"/>
                <w:szCs w:val="20"/>
              </w:rPr>
              <w:br/>
            </w:r>
            <w:r w:rsidRPr="000E4C4C">
              <w:rPr>
                <w:rFonts w:ascii="Arial" w:eastAsia="Arial" w:hAnsi="Arial" w:cs="Arial"/>
                <w:sz w:val="20"/>
                <w:szCs w:val="20"/>
              </w:rPr>
              <w:br/>
            </w:r>
          </w:p>
          <w:p w14:paraId="1BB69840" w14:textId="77777777" w:rsidR="001A742F" w:rsidRPr="000E4C4C" w:rsidRDefault="001A742F">
            <w:pPr>
              <w:rPr>
                <w:rFonts w:ascii="Arial" w:eastAsia="Arial" w:hAnsi="Arial" w:cs="Arial"/>
                <w:sz w:val="20"/>
                <w:szCs w:val="20"/>
              </w:rPr>
            </w:pP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91DBE" w14:textId="77777777" w:rsidR="000E4C4C" w:rsidRPr="000E4C4C" w:rsidRDefault="000E4C4C" w:rsidP="000E4C4C">
            <w:pPr>
              <w:pStyle w:val="Heading2"/>
              <w:spacing w:before="0" w:after="0"/>
              <w:rPr>
                <w:rFonts w:ascii="Arial" w:hAnsi="Arial" w:cs="Arial"/>
                <w:sz w:val="24"/>
                <w:szCs w:val="24"/>
              </w:rPr>
            </w:pPr>
            <w:r w:rsidRPr="000E4C4C">
              <w:rPr>
                <w:rFonts w:ascii="Arial" w:hAnsi="Arial" w:cs="Arial"/>
                <w:sz w:val="24"/>
                <w:szCs w:val="24"/>
              </w:rPr>
              <w:t>ARTICLE 11: OTHER COMMITTEES</w:t>
            </w:r>
          </w:p>
          <w:p w14:paraId="3536B6B3" w14:textId="77777777" w:rsidR="000E4C4C" w:rsidRPr="000E4C4C" w:rsidRDefault="000E4C4C" w:rsidP="000E4C4C">
            <w:pPr>
              <w:pStyle w:val="ListParagraph"/>
              <w:numPr>
                <w:ilvl w:val="0"/>
                <w:numId w:val="2"/>
              </w:numPr>
              <w:tabs>
                <w:tab w:val="left" w:pos="1440"/>
              </w:tabs>
              <w:spacing w:after="160" w:line="259" w:lineRule="auto"/>
              <w:rPr>
                <w:rFonts w:ascii="Arial" w:hAnsi="Arial" w:cs="Arial"/>
              </w:rPr>
            </w:pPr>
            <w:r w:rsidRPr="000E4C4C">
              <w:rPr>
                <w:rFonts w:ascii="Arial" w:hAnsi="Arial" w:cs="Arial"/>
              </w:rPr>
              <w:t xml:space="preserve">Ranked alternates </w:t>
            </w:r>
            <w:r w:rsidRPr="000E4C4C">
              <w:rPr>
                <w:rFonts w:ascii="Arial" w:hAnsi="Arial" w:cs="Arial"/>
                <w:b/>
                <w:bCs/>
                <w:color w:val="0070C0"/>
                <w:u w:val="single"/>
              </w:rPr>
              <w:t>up to the number of appointees</w:t>
            </w:r>
            <w:r w:rsidRPr="000E4C4C">
              <w:rPr>
                <w:rFonts w:ascii="Arial" w:hAnsi="Arial" w:cs="Arial"/>
                <w:color w:val="0070C0"/>
              </w:rPr>
              <w:t xml:space="preserve"> </w:t>
            </w:r>
            <w:r w:rsidRPr="000E4C4C">
              <w:rPr>
                <w:rFonts w:ascii="Arial" w:hAnsi="Arial" w:cs="Arial"/>
              </w:rPr>
              <w:t xml:space="preserve">may be named by the appointing bodies to fill any vacancies or absences in the convention committees.  </w:t>
            </w:r>
          </w:p>
          <w:p w14:paraId="46FB8B44" w14:textId="279B2DCF" w:rsidR="001A742F" w:rsidRPr="000E4C4C" w:rsidRDefault="001A742F">
            <w:pPr>
              <w:rPr>
                <w:rFonts w:ascii="Arial" w:eastAsia="Arial" w:hAnsi="Arial" w:cs="Arial"/>
                <w:sz w:val="20"/>
                <w:szCs w:val="20"/>
              </w:rPr>
            </w:pP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6E19C" w14:textId="77777777" w:rsidR="000E4C4C" w:rsidRPr="000E4C4C" w:rsidRDefault="000E4C4C" w:rsidP="000E4C4C">
            <w:pPr>
              <w:pStyle w:val="Heading2"/>
              <w:spacing w:before="0" w:after="0"/>
              <w:rPr>
                <w:rFonts w:ascii="Arial" w:hAnsi="Arial" w:cs="Arial"/>
                <w:sz w:val="24"/>
                <w:szCs w:val="24"/>
              </w:rPr>
            </w:pPr>
            <w:r w:rsidRPr="000E4C4C">
              <w:rPr>
                <w:rFonts w:ascii="Arial" w:hAnsi="Arial" w:cs="Arial"/>
                <w:sz w:val="24"/>
                <w:szCs w:val="24"/>
              </w:rPr>
              <w:t>ARTICLE 11: OTHER COMMITTEES</w:t>
            </w:r>
          </w:p>
          <w:p w14:paraId="3909CFE0" w14:textId="77777777" w:rsidR="000E4C4C" w:rsidRPr="000E4C4C" w:rsidRDefault="000E4C4C" w:rsidP="000E4C4C">
            <w:pPr>
              <w:pStyle w:val="ListParagraph"/>
              <w:numPr>
                <w:ilvl w:val="0"/>
                <w:numId w:val="3"/>
              </w:numPr>
              <w:tabs>
                <w:tab w:val="left" w:pos="1440"/>
              </w:tabs>
              <w:spacing w:after="160" w:line="259" w:lineRule="auto"/>
              <w:rPr>
                <w:rFonts w:ascii="Arial" w:hAnsi="Arial" w:cs="Arial"/>
              </w:rPr>
            </w:pPr>
            <w:r w:rsidRPr="000E4C4C">
              <w:rPr>
                <w:rFonts w:ascii="Arial" w:hAnsi="Arial" w:cs="Arial"/>
              </w:rPr>
              <w:t xml:space="preserve">Ranked alternates up to the number of appointees may be named by the appointing bodies to fill any vacancies or absences in the convention committees.  </w:t>
            </w:r>
          </w:p>
          <w:p w14:paraId="3B1A9C80" w14:textId="64543876" w:rsidR="001A742F" w:rsidRPr="000E4C4C" w:rsidRDefault="001A742F">
            <w:pPr>
              <w:rPr>
                <w:rFonts w:ascii="Arial" w:eastAsia="Arial" w:hAnsi="Arial" w:cs="Arial"/>
                <w:sz w:val="20"/>
                <w:szCs w:val="20"/>
              </w:rPr>
            </w:pPr>
          </w:p>
        </w:tc>
      </w:tr>
    </w:tbl>
    <w:p w14:paraId="2681D05A" w14:textId="77777777" w:rsidR="001A742F" w:rsidRDefault="001A742F">
      <w:pPr>
        <w:pBdr>
          <w:top w:val="nil"/>
          <w:left w:val="nil"/>
          <w:bottom w:val="nil"/>
          <w:right w:val="nil"/>
          <w:between w:val="nil"/>
        </w:pBdr>
        <w:ind w:right="-20"/>
        <w:rPr>
          <w:rFonts w:ascii="Arial" w:eastAsia="Arial" w:hAnsi="Arial" w:cs="Arial"/>
          <w:color w:val="000000"/>
        </w:rPr>
      </w:pPr>
    </w:p>
    <w:p w14:paraId="5D22C69D" w14:textId="77777777" w:rsidR="001A742F" w:rsidRDefault="001A742F"/>
    <w:p w14:paraId="1A2A5E89" w14:textId="49E5353F" w:rsidR="001A742F" w:rsidRDefault="00000000">
      <w:pPr>
        <w:rPr>
          <w:rFonts w:ascii="Arial" w:eastAsia="Arial" w:hAnsi="Arial" w:cs="Arial"/>
        </w:rPr>
      </w:pPr>
      <w:r>
        <w:rPr>
          <w:rFonts w:ascii="Arial" w:eastAsia="Arial" w:hAnsi="Arial" w:cs="Arial"/>
          <w:b/>
        </w:rPr>
        <w:t>SPONSORS:</w:t>
      </w:r>
      <w:r>
        <w:rPr>
          <w:rFonts w:ascii="Arial" w:eastAsia="Arial" w:hAnsi="Arial" w:cs="Arial"/>
        </w:rPr>
        <w:t xml:space="preserve"> </w:t>
      </w:r>
      <w:r w:rsidR="000E4C4C">
        <w:rPr>
          <w:rFonts w:ascii="Arial" w:eastAsia="Arial" w:hAnsi="Arial" w:cs="Arial"/>
        </w:rPr>
        <w:t>HARLOS</w:t>
      </w:r>
    </w:p>
    <w:p w14:paraId="66797E04" w14:textId="77777777" w:rsidR="001A742F" w:rsidRDefault="001A742F"/>
    <w:p w14:paraId="5DE44DE5" w14:textId="77777777" w:rsidR="001A742F" w:rsidRDefault="001A742F"/>
    <w:p w14:paraId="1A8D405B" w14:textId="77777777" w:rsidR="001A742F" w:rsidRDefault="00000000">
      <w:pPr>
        <w:rPr>
          <w:rFonts w:ascii="Arial" w:eastAsia="Arial" w:hAnsi="Arial" w:cs="Arial"/>
          <w:b/>
          <w:sz w:val="20"/>
          <w:szCs w:val="20"/>
          <w:u w:val="single"/>
        </w:rPr>
      </w:pPr>
      <w:r>
        <w:rPr>
          <w:rFonts w:ascii="Arial" w:eastAsia="Arial" w:hAnsi="Arial" w:cs="Arial"/>
          <w:b/>
          <w:sz w:val="20"/>
          <w:szCs w:val="20"/>
          <w:u w:val="single"/>
        </w:rPr>
        <w:t>MARK-UP LEGEND</w:t>
      </w:r>
    </w:p>
    <w:p w14:paraId="37EAA7B2" w14:textId="77777777" w:rsidR="001A742F" w:rsidRDefault="001A742F">
      <w:pPr>
        <w:jc w:val="both"/>
        <w:rPr>
          <w:rFonts w:ascii="Arial" w:eastAsia="Arial" w:hAnsi="Arial" w:cs="Arial"/>
          <w:b/>
          <w:sz w:val="20"/>
          <w:szCs w:val="20"/>
        </w:rPr>
      </w:pPr>
    </w:p>
    <w:p w14:paraId="403019D3" w14:textId="77777777" w:rsidR="001A742F"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 replacements, deletions precede additions.</w:t>
      </w:r>
    </w:p>
    <w:p w14:paraId="105B9C68" w14:textId="77777777" w:rsidR="001A742F"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Deletions are in </w:t>
      </w:r>
      <w:r>
        <w:rPr>
          <w:rFonts w:ascii="Arial" w:eastAsia="Arial" w:hAnsi="Arial" w:cs="Arial"/>
          <w:b/>
          <w:i/>
          <w:strike/>
          <w:color w:val="FF0000"/>
          <w:sz w:val="20"/>
          <w:szCs w:val="20"/>
        </w:rPr>
        <w:t>red bold italic strikethrough</w:t>
      </w:r>
      <w:r>
        <w:rPr>
          <w:rFonts w:ascii="Arial" w:eastAsia="Arial" w:hAnsi="Arial" w:cs="Arial"/>
          <w:color w:val="000000"/>
          <w:sz w:val="20"/>
          <w:szCs w:val="20"/>
        </w:rPr>
        <w:t>.</w:t>
      </w:r>
    </w:p>
    <w:p w14:paraId="258BF2B6" w14:textId="77777777" w:rsidR="001A742F"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Additions are in </w:t>
      </w:r>
      <w:r>
        <w:rPr>
          <w:rFonts w:ascii="Arial" w:eastAsia="Arial" w:hAnsi="Arial" w:cs="Arial"/>
          <w:b/>
          <w:color w:val="0070C0"/>
          <w:sz w:val="20"/>
          <w:szCs w:val="20"/>
          <w:u w:val="single"/>
        </w:rPr>
        <w:t>blue bold underline</w:t>
      </w:r>
      <w:r>
        <w:rPr>
          <w:rFonts w:ascii="Arial" w:eastAsia="Arial" w:hAnsi="Arial" w:cs="Arial"/>
          <w:color w:val="000000"/>
          <w:sz w:val="20"/>
          <w:szCs w:val="20"/>
        </w:rPr>
        <w:t>.</w:t>
      </w:r>
    </w:p>
    <w:p w14:paraId="04EAFB0D" w14:textId="77777777" w:rsidR="001A742F"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Per LPUS Bylaws, Article XVII, Section 1, the bylaws require a 2/3 vote to pass.</w:t>
      </w:r>
    </w:p>
    <w:p w14:paraId="45ADC769" w14:textId="77777777" w:rsidR="001A742F"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Per RONR t8 #13, the convention special rules of order require a 2/3 vote with notice or a majority of the entire convention membership</w:t>
      </w:r>
    </w:p>
    <w:p w14:paraId="36C7EEFF" w14:textId="77777777" w:rsidR="001A742F" w:rsidRDefault="001A742F"/>
    <w:sectPr w:rsidR="001A74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CED"/>
    <w:multiLevelType w:val="hybridMultilevel"/>
    <w:tmpl w:val="B484DCB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66C1CD7"/>
    <w:multiLevelType w:val="multilevel"/>
    <w:tmpl w:val="40D0F03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B64BB8"/>
    <w:multiLevelType w:val="hybridMultilevel"/>
    <w:tmpl w:val="B484DC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685548">
    <w:abstractNumId w:val="1"/>
  </w:num>
  <w:num w:numId="2" w16cid:durableId="1155953452">
    <w:abstractNumId w:val="2"/>
  </w:num>
  <w:num w:numId="3" w16cid:durableId="147587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2F"/>
    <w:rsid w:val="000E4C4C"/>
    <w:rsid w:val="001A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984A"/>
  <w15:docId w15:val="{8F7B9527-3587-8E4A-A537-C36E7FF9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PQkQe5YeSBlVFozJODnlvi+cQ==">AMUW2mXQBWFECy7o6LpXGizRSNjThwnaGTbZ0mWg24E7KOoa5dXklj2Tx0klY1FnSsPUWs6ovixn16Iw3QeFOeiCkcS0hhLPhtcDnJzQEu2SRAZvOCk0H2E=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Ann Harlos</dc:creator>
  <cp:lastModifiedBy>Caryn Harlos</cp:lastModifiedBy>
  <cp:revision>2</cp:revision>
  <dcterms:created xsi:type="dcterms:W3CDTF">2022-12-12T04:05:00Z</dcterms:created>
  <dcterms:modified xsi:type="dcterms:W3CDTF">2023-01-18T21:36:00Z</dcterms:modified>
</cp:coreProperties>
</file>