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3A5" w:rsidRDefault="002C73A5" w:rsidP="002C73A5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b/>
          <w:noProof/>
        </w:rPr>
        <w:drawing>
          <wp:inline distT="0" distB="0" distL="0" distR="0" wp14:anchorId="4945CAC5" wp14:editId="1580BC8A">
            <wp:extent cx="875763" cy="875763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ange-purp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246" cy="887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6ED2" w:rsidRPr="00906ED2">
        <w:rPr>
          <w:noProof/>
        </w:rPr>
        <w:t xml:space="preserve"> </w:t>
      </w:r>
    </w:p>
    <w:p w:rsidR="002C73A5" w:rsidRDefault="002C73A5" w:rsidP="00757AB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65703" w:rsidRDefault="00356E19" w:rsidP="00765703">
      <w:pPr>
        <w:spacing w:after="0" w:line="240" w:lineRule="auto"/>
        <w:jc w:val="center"/>
        <w:rPr>
          <w:rFonts w:ascii="Calibri" w:eastAsia="Times New Roman" w:hAnsi="Calibri" w:cs="Times New Roman"/>
          <w:noProof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w:drawing>
          <wp:inline distT="0" distB="0" distL="0" distR="0">
            <wp:extent cx="3657600" cy="932688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ip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6ED2">
        <w:rPr>
          <w:rFonts w:ascii="Calibri" w:eastAsia="Times New Roman" w:hAnsi="Calibri" w:cs="Times New Roman"/>
          <w:noProof/>
          <w:sz w:val="24"/>
          <w:szCs w:val="24"/>
        </w:rPr>
        <w:t xml:space="preserve"> </w:t>
      </w:r>
    </w:p>
    <w:p w:rsidR="00906ED2" w:rsidRDefault="00906ED2" w:rsidP="00765703">
      <w:pPr>
        <w:spacing w:after="0" w:line="240" w:lineRule="auto"/>
        <w:jc w:val="center"/>
        <w:rPr>
          <w:b/>
        </w:rPr>
      </w:pPr>
    </w:p>
    <w:p w:rsidR="00765703" w:rsidRDefault="00765703" w:rsidP="00765703">
      <w:pPr>
        <w:spacing w:after="0" w:line="240" w:lineRule="auto"/>
        <w:ind w:left="-180" w:right="-90"/>
        <w:jc w:val="center"/>
        <w:rPr>
          <w:b/>
          <w:sz w:val="36"/>
          <w:szCs w:val="36"/>
        </w:rPr>
      </w:pPr>
      <w:r w:rsidRPr="00D51A5A">
        <w:rPr>
          <w:b/>
          <w:sz w:val="36"/>
          <w:szCs w:val="36"/>
        </w:rPr>
        <w:t xml:space="preserve">Graduate </w:t>
      </w:r>
      <w:r>
        <w:rPr>
          <w:b/>
          <w:sz w:val="36"/>
          <w:szCs w:val="36"/>
        </w:rPr>
        <w:t>Research Assistantship</w:t>
      </w:r>
    </w:p>
    <w:p w:rsidR="00765703" w:rsidRDefault="00765703" w:rsidP="006B353B">
      <w:pPr>
        <w:spacing w:after="0" w:line="240" w:lineRule="auto"/>
        <w:ind w:left="-180" w:right="-9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Park Management</w:t>
      </w:r>
      <w:r w:rsidR="006B353B">
        <w:rPr>
          <w:b/>
          <w:sz w:val="36"/>
          <w:szCs w:val="36"/>
          <w:u w:val="single"/>
        </w:rPr>
        <w:t xml:space="preserve"> and Conservation Social Science </w:t>
      </w:r>
    </w:p>
    <w:p w:rsidR="00765703" w:rsidRPr="008A5627" w:rsidRDefault="00765703" w:rsidP="00765703">
      <w:pPr>
        <w:spacing w:after="0" w:line="240" w:lineRule="auto"/>
        <w:ind w:left="-180" w:right="-90"/>
        <w:jc w:val="center"/>
        <w:rPr>
          <w:b/>
          <w:sz w:val="36"/>
          <w:szCs w:val="36"/>
          <w:u w:val="single"/>
        </w:rPr>
      </w:pPr>
    </w:p>
    <w:p w:rsidR="00D968D4" w:rsidRDefault="002C73A5" w:rsidP="00765703">
      <w:pPr>
        <w:spacing w:after="0" w:line="240" w:lineRule="auto"/>
        <w:rPr>
          <w:spacing w:val="-3"/>
          <w:sz w:val="24"/>
          <w:szCs w:val="24"/>
        </w:rPr>
      </w:pPr>
      <w:r w:rsidRPr="00925743">
        <w:rPr>
          <w:spacing w:val="-1"/>
          <w:sz w:val="24"/>
          <w:szCs w:val="24"/>
        </w:rPr>
        <w:t>The</w:t>
      </w:r>
      <w:r w:rsidRPr="00925743">
        <w:rPr>
          <w:spacing w:val="-5"/>
          <w:sz w:val="24"/>
          <w:szCs w:val="24"/>
        </w:rPr>
        <w:t xml:space="preserve"> </w:t>
      </w:r>
      <w:hyperlink r:id="rId7" w:history="1">
        <w:r w:rsidRPr="006B353B">
          <w:rPr>
            <w:rStyle w:val="Hyperlink"/>
            <w:rFonts w:cstheme="minorBidi"/>
            <w:spacing w:val="-5"/>
            <w:sz w:val="24"/>
            <w:szCs w:val="24"/>
          </w:rPr>
          <w:t>Department of Parks, Recreation, and Tourism Management</w:t>
        </w:r>
      </w:hyperlink>
      <w:r w:rsidRPr="00925743">
        <w:rPr>
          <w:spacing w:val="-5"/>
          <w:sz w:val="24"/>
          <w:szCs w:val="24"/>
        </w:rPr>
        <w:t xml:space="preserve"> at </w:t>
      </w:r>
      <w:hyperlink r:id="rId8" w:history="1">
        <w:r w:rsidRPr="006B353B">
          <w:rPr>
            <w:rStyle w:val="Hyperlink"/>
            <w:rFonts w:cstheme="minorBidi"/>
            <w:spacing w:val="-5"/>
            <w:sz w:val="24"/>
            <w:szCs w:val="24"/>
          </w:rPr>
          <w:t>Clemson University</w:t>
        </w:r>
      </w:hyperlink>
      <w:r w:rsidRPr="00925743">
        <w:rPr>
          <w:spacing w:val="-5"/>
          <w:sz w:val="24"/>
          <w:szCs w:val="24"/>
        </w:rPr>
        <w:t xml:space="preserve"> is </w:t>
      </w:r>
      <w:r w:rsidRPr="00925743">
        <w:rPr>
          <w:spacing w:val="-1"/>
          <w:sz w:val="24"/>
          <w:szCs w:val="24"/>
        </w:rPr>
        <w:t>pleased</w:t>
      </w:r>
      <w:r w:rsidRPr="00925743">
        <w:rPr>
          <w:spacing w:val="-5"/>
          <w:sz w:val="24"/>
          <w:szCs w:val="24"/>
        </w:rPr>
        <w:t xml:space="preserve"> </w:t>
      </w:r>
      <w:r w:rsidRPr="00925743">
        <w:rPr>
          <w:spacing w:val="-1"/>
          <w:sz w:val="24"/>
          <w:szCs w:val="24"/>
        </w:rPr>
        <w:t>to</w:t>
      </w:r>
      <w:r w:rsidRPr="00925743">
        <w:rPr>
          <w:spacing w:val="-5"/>
          <w:sz w:val="24"/>
          <w:szCs w:val="24"/>
        </w:rPr>
        <w:t xml:space="preserve"> </w:t>
      </w:r>
      <w:r w:rsidRPr="00925743">
        <w:rPr>
          <w:sz w:val="24"/>
          <w:szCs w:val="24"/>
        </w:rPr>
        <w:t>announce</w:t>
      </w:r>
      <w:r w:rsidRPr="00925743">
        <w:rPr>
          <w:spacing w:val="-1"/>
          <w:sz w:val="24"/>
          <w:szCs w:val="24"/>
        </w:rPr>
        <w:t xml:space="preserve"> new</w:t>
      </w:r>
      <w:r w:rsidRPr="00925743">
        <w:rPr>
          <w:spacing w:val="-4"/>
          <w:sz w:val="24"/>
          <w:szCs w:val="24"/>
        </w:rPr>
        <w:t xml:space="preserve"> </w:t>
      </w:r>
      <w:r w:rsidRPr="00925743">
        <w:rPr>
          <w:sz w:val="24"/>
          <w:szCs w:val="24"/>
        </w:rPr>
        <w:t>PhD</w:t>
      </w:r>
      <w:r>
        <w:rPr>
          <w:sz w:val="24"/>
          <w:szCs w:val="24"/>
        </w:rPr>
        <w:t xml:space="preserve"> </w:t>
      </w:r>
      <w:r w:rsidR="00F22440">
        <w:rPr>
          <w:sz w:val="24"/>
          <w:szCs w:val="24"/>
        </w:rPr>
        <w:t xml:space="preserve">assistantships </w:t>
      </w:r>
      <w:r w:rsidR="006B353B">
        <w:rPr>
          <w:spacing w:val="-1"/>
          <w:sz w:val="24"/>
          <w:szCs w:val="24"/>
        </w:rPr>
        <w:t>in The Park Solutions Lab</w:t>
      </w:r>
      <w:r w:rsidR="006413E2">
        <w:rPr>
          <w:spacing w:val="-1"/>
          <w:sz w:val="24"/>
          <w:szCs w:val="24"/>
        </w:rPr>
        <w:t>, starting in Summer or Fall 2018</w:t>
      </w:r>
      <w:r>
        <w:rPr>
          <w:spacing w:val="-1"/>
          <w:sz w:val="24"/>
          <w:szCs w:val="24"/>
        </w:rPr>
        <w:t xml:space="preserve">.  </w:t>
      </w:r>
      <w:r w:rsidRPr="00925743">
        <w:rPr>
          <w:sz w:val="24"/>
          <w:szCs w:val="24"/>
        </w:rPr>
        <w:t>The assistantship</w:t>
      </w:r>
      <w:r w:rsidR="00F22440">
        <w:rPr>
          <w:sz w:val="24"/>
          <w:szCs w:val="24"/>
        </w:rPr>
        <w:t>s</w:t>
      </w:r>
      <w:r w:rsidRPr="00925743">
        <w:rPr>
          <w:sz w:val="24"/>
          <w:szCs w:val="24"/>
        </w:rPr>
        <w:t xml:space="preserve"> involve working closely with </w:t>
      </w:r>
      <w:hyperlink r:id="rId9" w:history="1">
        <w:r w:rsidRPr="006B353B">
          <w:rPr>
            <w:rStyle w:val="Hyperlink"/>
            <w:rFonts w:cstheme="minorBidi"/>
            <w:sz w:val="24"/>
            <w:szCs w:val="24"/>
          </w:rPr>
          <w:t>Dr. Matt Brownlee</w:t>
        </w:r>
      </w:hyperlink>
      <w:r w:rsidR="00E9220F">
        <w:rPr>
          <w:sz w:val="24"/>
          <w:szCs w:val="24"/>
        </w:rPr>
        <w:t xml:space="preserve"> , </w:t>
      </w:r>
      <w:hyperlink r:id="rId10" w:history="1">
        <w:r w:rsidR="00E9220F" w:rsidRPr="00D31EBC">
          <w:rPr>
            <w:rStyle w:val="Hyperlink"/>
            <w:rFonts w:cstheme="minorBidi"/>
            <w:sz w:val="24"/>
            <w:szCs w:val="24"/>
          </w:rPr>
          <w:t>Dr. Wayne Freimund</w:t>
        </w:r>
      </w:hyperlink>
      <w:r w:rsidR="00E9220F">
        <w:rPr>
          <w:sz w:val="24"/>
          <w:szCs w:val="24"/>
        </w:rPr>
        <w:t>,</w:t>
      </w:r>
      <w:r w:rsidRPr="00925743">
        <w:rPr>
          <w:sz w:val="24"/>
          <w:szCs w:val="24"/>
        </w:rPr>
        <w:t xml:space="preserve"> </w:t>
      </w:r>
      <w:r w:rsidR="0013300C">
        <w:rPr>
          <w:sz w:val="24"/>
          <w:szCs w:val="24"/>
        </w:rPr>
        <w:t>and</w:t>
      </w:r>
      <w:r w:rsidR="00EE26BB">
        <w:rPr>
          <w:sz w:val="24"/>
          <w:szCs w:val="24"/>
        </w:rPr>
        <w:t xml:space="preserve"> fellows </w:t>
      </w:r>
      <w:r w:rsidR="00E9220F">
        <w:rPr>
          <w:sz w:val="24"/>
          <w:szCs w:val="24"/>
        </w:rPr>
        <w:t xml:space="preserve">at </w:t>
      </w:r>
      <w:r w:rsidR="00EE26BB">
        <w:rPr>
          <w:sz w:val="24"/>
          <w:szCs w:val="24"/>
        </w:rPr>
        <w:t>the</w:t>
      </w:r>
      <w:r w:rsidR="0013300C">
        <w:rPr>
          <w:sz w:val="24"/>
          <w:szCs w:val="24"/>
        </w:rPr>
        <w:t xml:space="preserve"> </w:t>
      </w:r>
      <w:hyperlink r:id="rId11" w:history="1">
        <w:r w:rsidR="00A838DF" w:rsidRPr="00EE26BB">
          <w:rPr>
            <w:rStyle w:val="Hyperlink"/>
            <w:rFonts w:cstheme="minorBidi"/>
            <w:sz w:val="24"/>
            <w:szCs w:val="24"/>
          </w:rPr>
          <w:t xml:space="preserve">Clemson University </w:t>
        </w:r>
        <w:r w:rsidR="00EE26BB" w:rsidRPr="00EE26BB">
          <w:rPr>
            <w:rStyle w:val="Hyperlink"/>
            <w:rFonts w:cstheme="minorBidi"/>
            <w:sz w:val="24"/>
            <w:szCs w:val="24"/>
          </w:rPr>
          <w:t>Institute for Parks</w:t>
        </w:r>
      </w:hyperlink>
      <w:r>
        <w:rPr>
          <w:sz w:val="24"/>
          <w:szCs w:val="24"/>
        </w:rPr>
        <w:t>.</w:t>
      </w:r>
      <w:r w:rsidRPr="00925743">
        <w:rPr>
          <w:sz w:val="24"/>
          <w:szCs w:val="24"/>
        </w:rPr>
        <w:t xml:space="preserve"> </w:t>
      </w:r>
      <w:r w:rsidRPr="00925743">
        <w:rPr>
          <w:spacing w:val="-9"/>
          <w:sz w:val="24"/>
          <w:szCs w:val="24"/>
        </w:rPr>
        <w:t xml:space="preserve"> </w:t>
      </w:r>
      <w:r w:rsidRPr="00757AB5">
        <w:rPr>
          <w:rFonts w:ascii="Calibri" w:eastAsia="Times New Roman" w:hAnsi="Calibri" w:cs="Times New Roman"/>
          <w:sz w:val="24"/>
          <w:szCs w:val="24"/>
        </w:rPr>
        <w:t>Th</w:t>
      </w:r>
      <w:r w:rsidR="00F22440">
        <w:rPr>
          <w:rFonts w:ascii="Calibri" w:eastAsia="Times New Roman" w:hAnsi="Calibri" w:cs="Times New Roman"/>
          <w:sz w:val="24"/>
          <w:szCs w:val="24"/>
        </w:rPr>
        <w:t>e</w:t>
      </w:r>
      <w:r w:rsidRPr="00757AB5">
        <w:rPr>
          <w:rFonts w:ascii="Calibri" w:eastAsia="Times New Roman" w:hAnsi="Calibri" w:cs="Times New Roman"/>
          <w:sz w:val="24"/>
          <w:szCs w:val="24"/>
        </w:rPr>
        <w:t xml:space="preserve"> assistantship</w:t>
      </w:r>
      <w:r w:rsidR="00F22440">
        <w:rPr>
          <w:rFonts w:ascii="Calibri" w:eastAsia="Times New Roman" w:hAnsi="Calibri" w:cs="Times New Roman"/>
          <w:sz w:val="24"/>
          <w:szCs w:val="24"/>
        </w:rPr>
        <w:t>s</w:t>
      </w:r>
      <w:r w:rsidRPr="00757AB5">
        <w:rPr>
          <w:rFonts w:ascii="Calibri" w:eastAsia="Times New Roman" w:hAnsi="Calibri" w:cs="Times New Roman"/>
          <w:sz w:val="24"/>
          <w:szCs w:val="24"/>
        </w:rPr>
        <w:t xml:space="preserve"> include coordinating applied research initiatives, including field data collection, analysis, and reporting.  Most research projects aim to prov</w:t>
      </w:r>
      <w:bookmarkStart w:id="0" w:name="_GoBack"/>
      <w:bookmarkEnd w:id="0"/>
      <w:r w:rsidRPr="00757AB5">
        <w:rPr>
          <w:rFonts w:ascii="Calibri" w:eastAsia="Times New Roman" w:hAnsi="Calibri" w:cs="Times New Roman"/>
          <w:sz w:val="24"/>
          <w:szCs w:val="24"/>
        </w:rPr>
        <w:t xml:space="preserve">ide protected area managers with critical data to understand </w:t>
      </w:r>
      <w:r w:rsidR="00F17F86">
        <w:rPr>
          <w:rFonts w:ascii="Calibri" w:eastAsia="Times New Roman" w:hAnsi="Calibri" w:cs="Times New Roman"/>
          <w:sz w:val="24"/>
          <w:szCs w:val="24"/>
        </w:rPr>
        <w:t xml:space="preserve">a) </w:t>
      </w:r>
      <w:r w:rsidR="00F17F86" w:rsidRPr="00925743">
        <w:rPr>
          <w:spacing w:val="-1"/>
          <w:sz w:val="24"/>
          <w:szCs w:val="24"/>
        </w:rPr>
        <w:t>the reciprocity between biophysical processes, human behavior, and social systems</w:t>
      </w:r>
      <w:r w:rsidR="00F17F86">
        <w:rPr>
          <w:spacing w:val="-1"/>
          <w:sz w:val="24"/>
          <w:szCs w:val="24"/>
        </w:rPr>
        <w:t xml:space="preserve">, b) </w:t>
      </w:r>
      <w:r w:rsidR="006B353B">
        <w:rPr>
          <w:rFonts w:ascii="Calibri" w:eastAsia="Times New Roman" w:hAnsi="Calibri" w:cs="Times New Roman"/>
          <w:sz w:val="24"/>
          <w:szCs w:val="24"/>
        </w:rPr>
        <w:t>park visitors’</w:t>
      </w:r>
      <w:r w:rsidR="00F17F8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757AB5">
        <w:rPr>
          <w:rFonts w:ascii="Calibri" w:eastAsia="Times New Roman" w:hAnsi="Calibri" w:cs="Times New Roman"/>
          <w:sz w:val="24"/>
          <w:szCs w:val="24"/>
        </w:rPr>
        <w:t>on-site behaviors, use patte</w:t>
      </w:r>
      <w:r w:rsidR="00F17F86">
        <w:rPr>
          <w:rFonts w:ascii="Calibri" w:eastAsia="Times New Roman" w:hAnsi="Calibri" w:cs="Times New Roman"/>
          <w:sz w:val="24"/>
          <w:szCs w:val="24"/>
        </w:rPr>
        <w:t>rns, and desired benefits, and c</w:t>
      </w:r>
      <w:r w:rsidRPr="00757AB5">
        <w:rPr>
          <w:rFonts w:ascii="Calibri" w:eastAsia="Times New Roman" w:hAnsi="Calibri" w:cs="Times New Roman"/>
          <w:sz w:val="24"/>
          <w:szCs w:val="24"/>
        </w:rPr>
        <w:t xml:space="preserve">) </w:t>
      </w:r>
      <w:r w:rsidR="00F17F86">
        <w:rPr>
          <w:rFonts w:ascii="Calibri" w:eastAsia="Times New Roman" w:hAnsi="Calibri" w:cs="Times New Roman"/>
          <w:sz w:val="24"/>
          <w:szCs w:val="24"/>
        </w:rPr>
        <w:t xml:space="preserve">stakeholders’ </w:t>
      </w:r>
      <w:r w:rsidRPr="00757AB5">
        <w:rPr>
          <w:rFonts w:ascii="Calibri" w:eastAsia="Times New Roman" w:hAnsi="Calibri" w:cs="Times New Roman"/>
          <w:sz w:val="24"/>
          <w:szCs w:val="24"/>
        </w:rPr>
        <w:t>perceptions of ecological and soci</w:t>
      </w:r>
      <w:r w:rsidR="00E9220F">
        <w:rPr>
          <w:rFonts w:ascii="Calibri" w:eastAsia="Times New Roman" w:hAnsi="Calibri" w:cs="Times New Roman"/>
          <w:sz w:val="24"/>
          <w:szCs w:val="24"/>
        </w:rPr>
        <w:t xml:space="preserve">al conditions.  The research includes both quantitative and qualitative approaches with a reliance on </w:t>
      </w:r>
      <w:r w:rsidR="00F22440">
        <w:rPr>
          <w:rFonts w:ascii="Calibri" w:eastAsia="Times New Roman" w:hAnsi="Calibri" w:cs="Times New Roman"/>
          <w:sz w:val="24"/>
          <w:szCs w:val="24"/>
        </w:rPr>
        <w:t>GIS applications</w:t>
      </w:r>
      <w:r w:rsidR="00E9220F">
        <w:rPr>
          <w:rFonts w:ascii="Calibri" w:eastAsia="Times New Roman" w:hAnsi="Calibri" w:cs="Times New Roman"/>
          <w:sz w:val="24"/>
          <w:szCs w:val="24"/>
        </w:rPr>
        <w:t>, advanced computing technology</w:t>
      </w:r>
      <w:r w:rsidR="00D31EBC">
        <w:rPr>
          <w:rFonts w:ascii="Calibri" w:eastAsia="Times New Roman" w:hAnsi="Calibri" w:cs="Times New Roman"/>
          <w:sz w:val="24"/>
          <w:szCs w:val="24"/>
        </w:rPr>
        <w:t>,</w:t>
      </w:r>
      <w:r w:rsidR="00E9220F">
        <w:rPr>
          <w:rFonts w:ascii="Calibri" w:eastAsia="Times New Roman" w:hAnsi="Calibri" w:cs="Times New Roman"/>
          <w:sz w:val="24"/>
          <w:szCs w:val="24"/>
        </w:rPr>
        <w:t xml:space="preserve"> and app development</w:t>
      </w:r>
      <w:r w:rsidRPr="00757AB5">
        <w:rPr>
          <w:rFonts w:ascii="Calibri" w:eastAsia="Times New Roman" w:hAnsi="Calibri" w:cs="Times New Roman"/>
          <w:sz w:val="24"/>
          <w:szCs w:val="24"/>
        </w:rPr>
        <w:t xml:space="preserve">.  </w:t>
      </w:r>
      <w:r w:rsidR="00765703">
        <w:rPr>
          <w:rFonts w:ascii="Calibri" w:eastAsia="Times New Roman" w:hAnsi="Calibri" w:cs="Times New Roman"/>
          <w:sz w:val="24"/>
          <w:szCs w:val="24"/>
        </w:rPr>
        <w:t xml:space="preserve">Potential </w:t>
      </w:r>
      <w:r w:rsidR="005C6ABC">
        <w:rPr>
          <w:rFonts w:ascii="Calibri" w:eastAsia="Times New Roman" w:hAnsi="Calibri" w:cs="Times New Roman"/>
          <w:sz w:val="24"/>
          <w:szCs w:val="24"/>
        </w:rPr>
        <w:t xml:space="preserve">data collection </w:t>
      </w:r>
      <w:r w:rsidR="00765703">
        <w:rPr>
          <w:rFonts w:ascii="Calibri" w:eastAsia="Times New Roman" w:hAnsi="Calibri" w:cs="Times New Roman"/>
          <w:sz w:val="24"/>
          <w:szCs w:val="24"/>
        </w:rPr>
        <w:t xml:space="preserve">locations include but </w:t>
      </w:r>
      <w:proofErr w:type="gramStart"/>
      <w:r w:rsidR="00765703">
        <w:rPr>
          <w:rFonts w:ascii="Calibri" w:eastAsia="Times New Roman" w:hAnsi="Calibri" w:cs="Times New Roman"/>
          <w:sz w:val="24"/>
          <w:szCs w:val="24"/>
        </w:rPr>
        <w:t>are not limited</w:t>
      </w:r>
      <w:proofErr w:type="gramEnd"/>
      <w:r w:rsidR="00765703">
        <w:rPr>
          <w:rFonts w:ascii="Calibri" w:eastAsia="Times New Roman" w:hAnsi="Calibri" w:cs="Times New Roman"/>
          <w:sz w:val="24"/>
          <w:szCs w:val="24"/>
        </w:rPr>
        <w:t xml:space="preserve"> to </w:t>
      </w:r>
      <w:r w:rsidR="006B353B">
        <w:rPr>
          <w:rFonts w:ascii="Calibri" w:eastAsia="Times New Roman" w:hAnsi="Calibri" w:cs="Times New Roman"/>
          <w:sz w:val="24"/>
          <w:szCs w:val="24"/>
        </w:rPr>
        <w:t xml:space="preserve">Katmai National Park, Lake Clark National Park, </w:t>
      </w:r>
      <w:r w:rsidR="00765703">
        <w:rPr>
          <w:rFonts w:ascii="Calibri" w:eastAsia="Times New Roman" w:hAnsi="Calibri" w:cs="Times New Roman"/>
          <w:sz w:val="24"/>
          <w:szCs w:val="24"/>
        </w:rPr>
        <w:t xml:space="preserve">Theodore </w:t>
      </w:r>
      <w:r w:rsidR="006978B0">
        <w:rPr>
          <w:rFonts w:ascii="Calibri" w:eastAsia="Times New Roman" w:hAnsi="Calibri" w:cs="Times New Roman"/>
          <w:sz w:val="24"/>
          <w:szCs w:val="24"/>
        </w:rPr>
        <w:t xml:space="preserve">Roosevelt </w:t>
      </w:r>
      <w:r w:rsidR="00765703">
        <w:rPr>
          <w:rFonts w:ascii="Calibri" w:eastAsia="Times New Roman" w:hAnsi="Calibri" w:cs="Times New Roman"/>
          <w:sz w:val="24"/>
          <w:szCs w:val="24"/>
        </w:rPr>
        <w:t>National Park, Cumberland Island National Seashore</w:t>
      </w:r>
      <w:r w:rsidR="006B353B">
        <w:rPr>
          <w:rFonts w:ascii="Calibri" w:eastAsia="Times New Roman" w:hAnsi="Calibri" w:cs="Times New Roman"/>
          <w:sz w:val="24"/>
          <w:szCs w:val="24"/>
        </w:rPr>
        <w:t>, and the Bonneville Salt Flats</w:t>
      </w:r>
      <w:r w:rsidR="00765703">
        <w:rPr>
          <w:rFonts w:ascii="Calibri" w:eastAsia="Times New Roman" w:hAnsi="Calibri" w:cs="Times New Roman"/>
          <w:sz w:val="24"/>
          <w:szCs w:val="24"/>
        </w:rPr>
        <w:t>.</w:t>
      </w:r>
      <w:r w:rsidR="005C6ABC">
        <w:rPr>
          <w:rFonts w:ascii="Calibri" w:eastAsia="Times New Roman" w:hAnsi="Calibri" w:cs="Times New Roman"/>
          <w:sz w:val="24"/>
          <w:szCs w:val="24"/>
        </w:rPr>
        <w:t xml:space="preserve">  </w:t>
      </w:r>
      <w:r w:rsidR="00D968D4" w:rsidRPr="00925743">
        <w:rPr>
          <w:spacing w:val="-3"/>
          <w:sz w:val="24"/>
          <w:szCs w:val="24"/>
        </w:rPr>
        <w:t xml:space="preserve">It is expected that students will generate their own research projects synergistic with the larger research plan </w:t>
      </w:r>
      <w:proofErr w:type="gramStart"/>
      <w:r w:rsidR="00D968D4" w:rsidRPr="00925743">
        <w:rPr>
          <w:spacing w:val="-3"/>
          <w:sz w:val="24"/>
          <w:szCs w:val="24"/>
        </w:rPr>
        <w:t>as a way to</w:t>
      </w:r>
      <w:proofErr w:type="gramEnd"/>
      <w:r w:rsidR="00D968D4" w:rsidRPr="00925743">
        <w:rPr>
          <w:spacing w:val="-3"/>
          <w:sz w:val="24"/>
          <w:szCs w:val="24"/>
        </w:rPr>
        <w:t xml:space="preserve"> support their academic progress.    </w:t>
      </w:r>
    </w:p>
    <w:p w:rsidR="00765703" w:rsidRPr="00925743" w:rsidRDefault="00765703" w:rsidP="0076570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D968D4" w:rsidRPr="00925743" w:rsidRDefault="00D968D4" w:rsidP="00765703">
      <w:pPr>
        <w:pStyle w:val="BodyText"/>
        <w:spacing w:before="56"/>
        <w:ind w:left="0" w:right="141" w:firstLine="0"/>
        <w:rPr>
          <w:sz w:val="24"/>
          <w:szCs w:val="24"/>
        </w:rPr>
      </w:pPr>
      <w:r w:rsidRPr="00925743">
        <w:rPr>
          <w:spacing w:val="-1"/>
          <w:sz w:val="24"/>
          <w:szCs w:val="24"/>
        </w:rPr>
        <w:t>Applicants</w:t>
      </w:r>
      <w:r w:rsidRPr="00925743">
        <w:rPr>
          <w:spacing w:val="1"/>
          <w:sz w:val="24"/>
          <w:szCs w:val="24"/>
        </w:rPr>
        <w:t xml:space="preserve"> </w:t>
      </w:r>
      <w:r w:rsidRPr="00925743">
        <w:rPr>
          <w:spacing w:val="-1"/>
          <w:sz w:val="24"/>
          <w:szCs w:val="24"/>
        </w:rPr>
        <w:t>wishing to</w:t>
      </w:r>
      <w:r w:rsidRPr="00925743">
        <w:rPr>
          <w:spacing w:val="1"/>
          <w:sz w:val="24"/>
          <w:szCs w:val="24"/>
        </w:rPr>
        <w:t xml:space="preserve"> </w:t>
      </w:r>
      <w:proofErr w:type="gramStart"/>
      <w:r w:rsidRPr="00925743">
        <w:rPr>
          <w:spacing w:val="-1"/>
          <w:sz w:val="24"/>
          <w:szCs w:val="24"/>
        </w:rPr>
        <w:t>be</w:t>
      </w:r>
      <w:r w:rsidRPr="00925743">
        <w:rPr>
          <w:spacing w:val="-2"/>
          <w:sz w:val="24"/>
          <w:szCs w:val="24"/>
        </w:rPr>
        <w:t xml:space="preserve"> </w:t>
      </w:r>
      <w:r w:rsidRPr="00925743">
        <w:rPr>
          <w:spacing w:val="-1"/>
          <w:sz w:val="24"/>
          <w:szCs w:val="24"/>
        </w:rPr>
        <w:t>considered</w:t>
      </w:r>
      <w:proofErr w:type="gramEnd"/>
      <w:r w:rsidRPr="00925743">
        <w:rPr>
          <w:spacing w:val="-1"/>
          <w:sz w:val="24"/>
          <w:szCs w:val="24"/>
        </w:rPr>
        <w:t xml:space="preserve"> </w:t>
      </w:r>
      <w:r w:rsidRPr="00925743">
        <w:rPr>
          <w:sz w:val="24"/>
          <w:szCs w:val="24"/>
        </w:rPr>
        <w:t xml:space="preserve">for the assistantship </w:t>
      </w:r>
      <w:r w:rsidRPr="00925743">
        <w:rPr>
          <w:spacing w:val="-1"/>
          <w:sz w:val="24"/>
          <w:szCs w:val="24"/>
        </w:rPr>
        <w:t>should submit</w:t>
      </w:r>
      <w:r w:rsidRPr="00925743">
        <w:rPr>
          <w:spacing w:val="-2"/>
          <w:sz w:val="24"/>
          <w:szCs w:val="24"/>
        </w:rPr>
        <w:t xml:space="preserve"> </w:t>
      </w:r>
      <w:r w:rsidRPr="00925743">
        <w:rPr>
          <w:sz w:val="24"/>
          <w:szCs w:val="24"/>
        </w:rPr>
        <w:t xml:space="preserve">the </w:t>
      </w:r>
      <w:r w:rsidRPr="00925743">
        <w:rPr>
          <w:spacing w:val="-1"/>
          <w:sz w:val="24"/>
          <w:szCs w:val="24"/>
        </w:rPr>
        <w:t>following</w:t>
      </w:r>
      <w:r w:rsidRPr="00925743">
        <w:rPr>
          <w:spacing w:val="-2"/>
          <w:sz w:val="24"/>
          <w:szCs w:val="24"/>
        </w:rPr>
        <w:t xml:space="preserve"> </w:t>
      </w:r>
      <w:r w:rsidRPr="00925743">
        <w:rPr>
          <w:spacing w:val="-1"/>
          <w:sz w:val="24"/>
          <w:szCs w:val="24"/>
        </w:rPr>
        <w:t>materials</w:t>
      </w:r>
      <w:r w:rsidR="00765703">
        <w:rPr>
          <w:b/>
          <w:spacing w:val="-1"/>
          <w:sz w:val="24"/>
          <w:szCs w:val="24"/>
        </w:rPr>
        <w:t xml:space="preserve"> </w:t>
      </w:r>
      <w:r w:rsidRPr="00925743">
        <w:rPr>
          <w:spacing w:val="-1"/>
          <w:sz w:val="24"/>
          <w:szCs w:val="24"/>
        </w:rPr>
        <w:t>via email</w:t>
      </w:r>
      <w:r w:rsidR="00765703">
        <w:rPr>
          <w:spacing w:val="-1"/>
          <w:sz w:val="24"/>
          <w:szCs w:val="24"/>
        </w:rPr>
        <w:t xml:space="preserve"> to </w:t>
      </w:r>
      <w:hyperlink r:id="rId12" w:history="1">
        <w:r w:rsidR="00EE26BB" w:rsidRPr="007E12A3">
          <w:rPr>
            <w:rStyle w:val="Hyperlink"/>
            <w:rFonts w:cstheme="minorBidi"/>
            <w:spacing w:val="-1"/>
            <w:sz w:val="24"/>
            <w:szCs w:val="24"/>
          </w:rPr>
          <w:t>mbrownl@clemson.edu</w:t>
        </w:r>
      </w:hyperlink>
      <w:r w:rsidR="00765703">
        <w:rPr>
          <w:spacing w:val="-1"/>
          <w:sz w:val="24"/>
          <w:szCs w:val="24"/>
        </w:rPr>
        <w:t xml:space="preserve"> </w:t>
      </w:r>
      <w:r w:rsidRPr="00925743">
        <w:rPr>
          <w:b/>
          <w:spacing w:val="2"/>
          <w:sz w:val="24"/>
          <w:szCs w:val="24"/>
        </w:rPr>
        <w:t xml:space="preserve"> </w:t>
      </w:r>
      <w:r w:rsidR="00765703">
        <w:rPr>
          <w:spacing w:val="-1"/>
          <w:sz w:val="24"/>
          <w:szCs w:val="24"/>
        </w:rPr>
        <w:t xml:space="preserve">by </w:t>
      </w:r>
      <w:r w:rsidR="006B353B">
        <w:rPr>
          <w:spacing w:val="-1"/>
          <w:sz w:val="24"/>
          <w:szCs w:val="24"/>
        </w:rPr>
        <w:t>December</w:t>
      </w:r>
      <w:r w:rsidR="00BC4F68">
        <w:rPr>
          <w:spacing w:val="-1"/>
          <w:sz w:val="24"/>
          <w:szCs w:val="24"/>
        </w:rPr>
        <w:t xml:space="preserve"> </w:t>
      </w:r>
      <w:r w:rsidR="006B353B">
        <w:rPr>
          <w:spacing w:val="-1"/>
          <w:sz w:val="24"/>
          <w:szCs w:val="24"/>
        </w:rPr>
        <w:t>15</w:t>
      </w:r>
      <w:r w:rsidR="00765703">
        <w:rPr>
          <w:spacing w:val="-1"/>
          <w:sz w:val="24"/>
          <w:szCs w:val="24"/>
        </w:rPr>
        <w:t>.</w:t>
      </w:r>
    </w:p>
    <w:p w:rsidR="00D968D4" w:rsidRPr="00925743" w:rsidRDefault="00D968D4" w:rsidP="00765703">
      <w:pPr>
        <w:pStyle w:val="BodyText"/>
        <w:numPr>
          <w:ilvl w:val="0"/>
          <w:numId w:val="2"/>
        </w:numPr>
        <w:tabs>
          <w:tab w:val="left" w:pos="821"/>
        </w:tabs>
        <w:spacing w:line="280" w:lineRule="exact"/>
        <w:ind w:left="720" w:hanging="270"/>
        <w:rPr>
          <w:sz w:val="24"/>
          <w:szCs w:val="24"/>
        </w:rPr>
      </w:pPr>
      <w:r w:rsidRPr="00925743">
        <w:rPr>
          <w:sz w:val="24"/>
          <w:szCs w:val="24"/>
        </w:rPr>
        <w:t xml:space="preserve">A </w:t>
      </w:r>
      <w:r w:rsidRPr="00925743">
        <w:rPr>
          <w:spacing w:val="-1"/>
          <w:sz w:val="24"/>
          <w:szCs w:val="24"/>
        </w:rPr>
        <w:t>cover</w:t>
      </w:r>
      <w:r w:rsidRPr="00925743">
        <w:rPr>
          <w:sz w:val="24"/>
          <w:szCs w:val="24"/>
        </w:rPr>
        <w:t xml:space="preserve"> </w:t>
      </w:r>
      <w:r w:rsidRPr="00925743">
        <w:rPr>
          <w:spacing w:val="-1"/>
          <w:sz w:val="24"/>
          <w:szCs w:val="24"/>
        </w:rPr>
        <w:t>letter</w:t>
      </w:r>
      <w:r w:rsidRPr="00925743">
        <w:rPr>
          <w:sz w:val="24"/>
          <w:szCs w:val="24"/>
        </w:rPr>
        <w:t xml:space="preserve"> </w:t>
      </w:r>
      <w:r w:rsidRPr="00925743">
        <w:rPr>
          <w:spacing w:val="-1"/>
          <w:sz w:val="24"/>
          <w:szCs w:val="24"/>
        </w:rPr>
        <w:t>articulating</w:t>
      </w:r>
      <w:r w:rsidRPr="00925743">
        <w:rPr>
          <w:sz w:val="24"/>
          <w:szCs w:val="24"/>
        </w:rPr>
        <w:t xml:space="preserve"> </w:t>
      </w:r>
      <w:r w:rsidRPr="00925743">
        <w:rPr>
          <w:spacing w:val="-1"/>
          <w:sz w:val="24"/>
          <w:szCs w:val="24"/>
        </w:rPr>
        <w:t>interest</w:t>
      </w:r>
      <w:r w:rsidRPr="00925743">
        <w:rPr>
          <w:spacing w:val="-2"/>
          <w:sz w:val="24"/>
          <w:szCs w:val="24"/>
        </w:rPr>
        <w:t xml:space="preserve"> </w:t>
      </w:r>
      <w:r w:rsidRPr="00925743">
        <w:rPr>
          <w:sz w:val="24"/>
          <w:szCs w:val="24"/>
        </w:rPr>
        <w:t>and</w:t>
      </w:r>
      <w:r w:rsidRPr="00925743">
        <w:rPr>
          <w:spacing w:val="-2"/>
          <w:sz w:val="24"/>
          <w:szCs w:val="24"/>
        </w:rPr>
        <w:t xml:space="preserve"> </w:t>
      </w:r>
      <w:r w:rsidRPr="00925743">
        <w:rPr>
          <w:spacing w:val="-1"/>
          <w:sz w:val="24"/>
          <w:szCs w:val="24"/>
        </w:rPr>
        <w:t>skills</w:t>
      </w:r>
      <w:r w:rsidRPr="00925743">
        <w:rPr>
          <w:sz w:val="24"/>
          <w:szCs w:val="24"/>
        </w:rPr>
        <w:t xml:space="preserve"> </w:t>
      </w:r>
      <w:r w:rsidRPr="00925743">
        <w:rPr>
          <w:spacing w:val="-1"/>
          <w:sz w:val="24"/>
          <w:szCs w:val="24"/>
        </w:rPr>
        <w:t xml:space="preserve">pertaining </w:t>
      </w:r>
      <w:r w:rsidRPr="00925743">
        <w:rPr>
          <w:sz w:val="24"/>
          <w:szCs w:val="24"/>
        </w:rPr>
        <w:t>to</w:t>
      </w:r>
      <w:r w:rsidRPr="00925743">
        <w:rPr>
          <w:spacing w:val="-1"/>
          <w:sz w:val="24"/>
          <w:szCs w:val="24"/>
        </w:rPr>
        <w:t xml:space="preserve"> </w:t>
      </w:r>
      <w:r w:rsidRPr="00925743">
        <w:rPr>
          <w:sz w:val="24"/>
          <w:szCs w:val="24"/>
        </w:rPr>
        <w:t xml:space="preserve">the </w:t>
      </w:r>
      <w:r w:rsidRPr="00925743">
        <w:rPr>
          <w:spacing w:val="-1"/>
          <w:sz w:val="24"/>
          <w:szCs w:val="24"/>
        </w:rPr>
        <w:t>above</w:t>
      </w:r>
      <w:r w:rsidRPr="00925743">
        <w:rPr>
          <w:sz w:val="24"/>
          <w:szCs w:val="24"/>
        </w:rPr>
        <w:t xml:space="preserve"> </w:t>
      </w:r>
      <w:r w:rsidRPr="00925743">
        <w:rPr>
          <w:spacing w:val="-1"/>
          <w:sz w:val="24"/>
          <w:szCs w:val="24"/>
        </w:rPr>
        <w:t>assistantship</w:t>
      </w:r>
    </w:p>
    <w:p w:rsidR="00D968D4" w:rsidRPr="00925743" w:rsidRDefault="00D968D4" w:rsidP="00765703">
      <w:pPr>
        <w:pStyle w:val="BodyText"/>
        <w:numPr>
          <w:ilvl w:val="0"/>
          <w:numId w:val="2"/>
        </w:numPr>
        <w:tabs>
          <w:tab w:val="left" w:pos="821"/>
        </w:tabs>
        <w:spacing w:line="280" w:lineRule="exact"/>
        <w:ind w:left="720" w:hanging="270"/>
        <w:rPr>
          <w:sz w:val="24"/>
          <w:szCs w:val="24"/>
        </w:rPr>
      </w:pPr>
      <w:r w:rsidRPr="00925743">
        <w:rPr>
          <w:sz w:val="24"/>
          <w:szCs w:val="24"/>
        </w:rPr>
        <w:t xml:space="preserve">A </w:t>
      </w:r>
      <w:r w:rsidRPr="00925743">
        <w:rPr>
          <w:spacing w:val="-1"/>
          <w:sz w:val="24"/>
          <w:szCs w:val="24"/>
        </w:rPr>
        <w:t>current</w:t>
      </w:r>
      <w:r w:rsidRPr="00925743">
        <w:rPr>
          <w:sz w:val="24"/>
          <w:szCs w:val="24"/>
        </w:rPr>
        <w:t xml:space="preserve"> </w:t>
      </w:r>
      <w:r w:rsidRPr="00925743">
        <w:rPr>
          <w:spacing w:val="-1"/>
          <w:sz w:val="24"/>
          <w:szCs w:val="24"/>
        </w:rPr>
        <w:t>resume/CV</w:t>
      </w:r>
    </w:p>
    <w:p w:rsidR="00D968D4" w:rsidRPr="00F17F86" w:rsidRDefault="00D968D4" w:rsidP="00765703">
      <w:pPr>
        <w:pStyle w:val="BodyText"/>
        <w:numPr>
          <w:ilvl w:val="0"/>
          <w:numId w:val="2"/>
        </w:numPr>
        <w:tabs>
          <w:tab w:val="left" w:pos="821"/>
        </w:tabs>
        <w:ind w:left="720" w:hanging="270"/>
        <w:rPr>
          <w:sz w:val="24"/>
          <w:szCs w:val="24"/>
        </w:rPr>
      </w:pPr>
      <w:r w:rsidRPr="00925743">
        <w:rPr>
          <w:spacing w:val="-1"/>
          <w:sz w:val="24"/>
          <w:szCs w:val="24"/>
        </w:rPr>
        <w:t>Names</w:t>
      </w:r>
      <w:r w:rsidRPr="00925743">
        <w:rPr>
          <w:spacing w:val="-2"/>
          <w:sz w:val="24"/>
          <w:szCs w:val="24"/>
        </w:rPr>
        <w:t xml:space="preserve"> </w:t>
      </w:r>
      <w:r w:rsidRPr="00925743">
        <w:rPr>
          <w:spacing w:val="-1"/>
          <w:sz w:val="24"/>
          <w:szCs w:val="24"/>
        </w:rPr>
        <w:t>and contact</w:t>
      </w:r>
      <w:r w:rsidRPr="00925743">
        <w:rPr>
          <w:sz w:val="24"/>
          <w:szCs w:val="24"/>
        </w:rPr>
        <w:t xml:space="preserve"> </w:t>
      </w:r>
      <w:r w:rsidRPr="00925743">
        <w:rPr>
          <w:spacing w:val="-1"/>
          <w:sz w:val="24"/>
          <w:szCs w:val="24"/>
        </w:rPr>
        <w:t>information for</w:t>
      </w:r>
      <w:r w:rsidRPr="00925743">
        <w:rPr>
          <w:spacing w:val="-2"/>
          <w:sz w:val="24"/>
          <w:szCs w:val="24"/>
        </w:rPr>
        <w:t xml:space="preserve"> </w:t>
      </w:r>
      <w:r w:rsidRPr="00925743">
        <w:rPr>
          <w:sz w:val="24"/>
          <w:szCs w:val="24"/>
        </w:rPr>
        <w:t xml:space="preserve">3 </w:t>
      </w:r>
      <w:r w:rsidRPr="00925743">
        <w:rPr>
          <w:spacing w:val="-1"/>
          <w:sz w:val="24"/>
          <w:szCs w:val="24"/>
        </w:rPr>
        <w:t>academic</w:t>
      </w:r>
      <w:r w:rsidRPr="00925743">
        <w:rPr>
          <w:sz w:val="24"/>
          <w:szCs w:val="24"/>
        </w:rPr>
        <w:t xml:space="preserve"> or</w:t>
      </w:r>
      <w:r w:rsidRPr="00925743">
        <w:rPr>
          <w:spacing w:val="-3"/>
          <w:sz w:val="24"/>
          <w:szCs w:val="24"/>
        </w:rPr>
        <w:t xml:space="preserve"> </w:t>
      </w:r>
      <w:r w:rsidRPr="00925743">
        <w:rPr>
          <w:spacing w:val="-1"/>
          <w:sz w:val="24"/>
          <w:szCs w:val="24"/>
        </w:rPr>
        <w:t>professional</w:t>
      </w:r>
      <w:r w:rsidRPr="00925743">
        <w:rPr>
          <w:spacing w:val="-3"/>
          <w:sz w:val="24"/>
          <w:szCs w:val="24"/>
        </w:rPr>
        <w:t xml:space="preserve"> </w:t>
      </w:r>
      <w:r w:rsidRPr="00925743">
        <w:rPr>
          <w:spacing w:val="-1"/>
          <w:sz w:val="24"/>
          <w:szCs w:val="24"/>
        </w:rPr>
        <w:t>references</w:t>
      </w:r>
    </w:p>
    <w:p w:rsidR="00F17F86" w:rsidRPr="00925743" w:rsidRDefault="00F17F86" w:rsidP="00765703">
      <w:pPr>
        <w:pStyle w:val="BodyText"/>
        <w:numPr>
          <w:ilvl w:val="0"/>
          <w:numId w:val="2"/>
        </w:numPr>
        <w:tabs>
          <w:tab w:val="left" w:pos="821"/>
        </w:tabs>
        <w:ind w:left="720" w:hanging="270"/>
        <w:rPr>
          <w:sz w:val="24"/>
          <w:szCs w:val="24"/>
        </w:rPr>
      </w:pPr>
      <w:r>
        <w:rPr>
          <w:spacing w:val="-1"/>
          <w:sz w:val="24"/>
          <w:szCs w:val="24"/>
        </w:rPr>
        <w:t>Availability for a campus visit</w:t>
      </w:r>
    </w:p>
    <w:p w:rsidR="00D968D4" w:rsidRPr="00925743" w:rsidRDefault="00D968D4" w:rsidP="00765703">
      <w:pPr>
        <w:spacing w:after="0" w:line="240" w:lineRule="auto"/>
        <w:rPr>
          <w:sz w:val="24"/>
          <w:szCs w:val="24"/>
        </w:rPr>
      </w:pPr>
    </w:p>
    <w:p w:rsidR="00D968D4" w:rsidRDefault="00F22440" w:rsidP="007657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D968D4" w:rsidRPr="00925743">
        <w:rPr>
          <w:sz w:val="24"/>
          <w:szCs w:val="24"/>
        </w:rPr>
        <w:t>ssistantship</w:t>
      </w:r>
      <w:r>
        <w:rPr>
          <w:sz w:val="24"/>
          <w:szCs w:val="24"/>
        </w:rPr>
        <w:t>s</w:t>
      </w:r>
      <w:r w:rsidR="00D968D4" w:rsidRPr="00925743">
        <w:rPr>
          <w:sz w:val="24"/>
          <w:szCs w:val="24"/>
        </w:rPr>
        <w:t xml:space="preserve"> require 20</w:t>
      </w:r>
      <w:r w:rsidR="006B353B">
        <w:rPr>
          <w:sz w:val="24"/>
          <w:szCs w:val="24"/>
        </w:rPr>
        <w:t>-25</w:t>
      </w:r>
      <w:r w:rsidR="00D968D4" w:rsidRPr="00925743">
        <w:rPr>
          <w:sz w:val="24"/>
          <w:szCs w:val="24"/>
        </w:rPr>
        <w:t xml:space="preserve"> </w:t>
      </w:r>
      <w:r w:rsidR="006B353B">
        <w:rPr>
          <w:sz w:val="24"/>
          <w:szCs w:val="24"/>
        </w:rPr>
        <w:t>hours of work per</w:t>
      </w:r>
      <w:r w:rsidR="00D968D4" w:rsidRPr="00925743">
        <w:rPr>
          <w:sz w:val="24"/>
          <w:szCs w:val="24"/>
        </w:rPr>
        <w:t xml:space="preserve"> w</w:t>
      </w:r>
      <w:r w:rsidR="00E32A80">
        <w:rPr>
          <w:sz w:val="24"/>
          <w:szCs w:val="24"/>
        </w:rPr>
        <w:t>eek for 9 academic months and 28</w:t>
      </w:r>
      <w:r w:rsidR="00D968D4" w:rsidRPr="00925743">
        <w:rPr>
          <w:sz w:val="24"/>
          <w:szCs w:val="24"/>
        </w:rPr>
        <w:t xml:space="preserve"> hours a week for 3 summer months.  Compensation includes a monthly stipend</w:t>
      </w:r>
      <w:r w:rsidR="006B353B">
        <w:rPr>
          <w:sz w:val="24"/>
          <w:szCs w:val="24"/>
        </w:rPr>
        <w:t>, reduced healthcare,</w:t>
      </w:r>
      <w:r w:rsidR="00E32A80">
        <w:rPr>
          <w:sz w:val="24"/>
          <w:szCs w:val="24"/>
        </w:rPr>
        <w:t xml:space="preserve"> and tuition</w:t>
      </w:r>
      <w:r w:rsidR="00D968D4" w:rsidRPr="00925743">
        <w:rPr>
          <w:sz w:val="24"/>
          <w:szCs w:val="24"/>
        </w:rPr>
        <w:t xml:space="preserve"> remission</w:t>
      </w:r>
      <w:r w:rsidR="00D968D4" w:rsidRPr="00925743">
        <w:rPr>
          <w:i/>
          <w:iCs/>
          <w:sz w:val="24"/>
          <w:szCs w:val="24"/>
        </w:rPr>
        <w:t xml:space="preserve">. </w:t>
      </w:r>
      <w:r w:rsidR="00D968D4" w:rsidRPr="00925743">
        <w:rPr>
          <w:sz w:val="24"/>
          <w:szCs w:val="24"/>
        </w:rPr>
        <w:t xml:space="preserve"> Travel support to present at professional conferences is available through grant</w:t>
      </w:r>
      <w:r w:rsidR="00D807EC">
        <w:rPr>
          <w:sz w:val="24"/>
          <w:szCs w:val="24"/>
        </w:rPr>
        <w:t>s</w:t>
      </w:r>
      <w:r w:rsidR="00D968D4" w:rsidRPr="00925743">
        <w:rPr>
          <w:sz w:val="24"/>
          <w:szCs w:val="24"/>
        </w:rPr>
        <w:t xml:space="preserve">, the Department, and student associations.  </w:t>
      </w:r>
      <w:r>
        <w:rPr>
          <w:sz w:val="24"/>
          <w:szCs w:val="24"/>
        </w:rPr>
        <w:t>A</w:t>
      </w:r>
      <w:r w:rsidR="00D968D4" w:rsidRPr="00925743">
        <w:rPr>
          <w:sz w:val="24"/>
          <w:szCs w:val="24"/>
        </w:rPr>
        <w:t>ssistantship</w:t>
      </w:r>
      <w:r>
        <w:rPr>
          <w:sz w:val="24"/>
          <w:szCs w:val="24"/>
        </w:rPr>
        <w:t>s are</w:t>
      </w:r>
      <w:r w:rsidR="00D968D4" w:rsidRPr="00925743">
        <w:rPr>
          <w:sz w:val="24"/>
          <w:szCs w:val="24"/>
        </w:rPr>
        <w:t xml:space="preserve"> renewable for a total of up to </w:t>
      </w:r>
      <w:r w:rsidR="00EE26BB">
        <w:rPr>
          <w:sz w:val="24"/>
          <w:szCs w:val="24"/>
        </w:rPr>
        <w:t>four</w:t>
      </w:r>
      <w:r w:rsidR="00D968D4" w:rsidRPr="00925743">
        <w:rPr>
          <w:sz w:val="24"/>
          <w:szCs w:val="24"/>
        </w:rPr>
        <w:t xml:space="preserve"> years, during which time continual registration as a full-time student is necessary and progress toward </w:t>
      </w:r>
      <w:r w:rsidR="00765703">
        <w:rPr>
          <w:sz w:val="24"/>
          <w:szCs w:val="24"/>
        </w:rPr>
        <w:t>degree</w:t>
      </w:r>
      <w:r w:rsidR="00D968D4" w:rsidRPr="00925743">
        <w:rPr>
          <w:sz w:val="24"/>
          <w:szCs w:val="24"/>
        </w:rPr>
        <w:t xml:space="preserve"> completion </w:t>
      </w:r>
      <w:proofErr w:type="gramStart"/>
      <w:r w:rsidR="00D968D4" w:rsidRPr="00925743">
        <w:rPr>
          <w:sz w:val="24"/>
          <w:szCs w:val="24"/>
        </w:rPr>
        <w:t>is expected</w:t>
      </w:r>
      <w:proofErr w:type="gramEnd"/>
      <w:r w:rsidR="00D968D4" w:rsidRPr="00925743">
        <w:rPr>
          <w:sz w:val="24"/>
          <w:szCs w:val="24"/>
        </w:rPr>
        <w:t xml:space="preserve">. </w:t>
      </w:r>
    </w:p>
    <w:p w:rsidR="00F17F86" w:rsidRPr="00925743" w:rsidRDefault="00F17F86" w:rsidP="00765703">
      <w:pPr>
        <w:spacing w:after="0" w:line="240" w:lineRule="auto"/>
        <w:rPr>
          <w:sz w:val="24"/>
          <w:szCs w:val="24"/>
        </w:rPr>
      </w:pPr>
    </w:p>
    <w:p w:rsidR="005C6ABC" w:rsidRDefault="00E9220F" w:rsidP="007657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Initial q</w:t>
      </w:r>
      <w:r w:rsidR="00765703" w:rsidRPr="00925743">
        <w:rPr>
          <w:sz w:val="24"/>
          <w:szCs w:val="24"/>
        </w:rPr>
        <w:t xml:space="preserve">uestions should </w:t>
      </w:r>
      <w:proofErr w:type="gramStart"/>
      <w:r w:rsidR="00765703" w:rsidRPr="00925743">
        <w:rPr>
          <w:sz w:val="24"/>
          <w:szCs w:val="24"/>
        </w:rPr>
        <w:t>be directed</w:t>
      </w:r>
      <w:proofErr w:type="gramEnd"/>
      <w:r w:rsidR="00765703" w:rsidRPr="00925743">
        <w:rPr>
          <w:sz w:val="24"/>
          <w:szCs w:val="24"/>
        </w:rPr>
        <w:t xml:space="preserve"> to Dr. Matt Brownlee at </w:t>
      </w:r>
      <w:hyperlink r:id="rId13" w:history="1">
        <w:r w:rsidR="006B353B" w:rsidRPr="00B25F7F">
          <w:rPr>
            <w:rStyle w:val="Hyperlink"/>
            <w:sz w:val="24"/>
            <w:szCs w:val="24"/>
          </w:rPr>
          <w:t>mbrownl@clemson.edu</w:t>
        </w:r>
      </w:hyperlink>
      <w:r w:rsidR="00765703" w:rsidRPr="00925743">
        <w:rPr>
          <w:sz w:val="24"/>
          <w:szCs w:val="24"/>
        </w:rPr>
        <w:t xml:space="preserve"> and </w:t>
      </w:r>
      <w:r w:rsidR="006B353B">
        <w:rPr>
          <w:sz w:val="24"/>
          <w:szCs w:val="24"/>
        </w:rPr>
        <w:t>864-508-1212</w:t>
      </w:r>
      <w:r w:rsidR="00765703" w:rsidRPr="00925743">
        <w:rPr>
          <w:sz w:val="24"/>
          <w:szCs w:val="24"/>
        </w:rPr>
        <w:t xml:space="preserve">.   </w:t>
      </w:r>
    </w:p>
    <w:p w:rsidR="005C6ABC" w:rsidRDefault="005C6ABC" w:rsidP="00765703">
      <w:pPr>
        <w:spacing w:after="0" w:line="240" w:lineRule="auto"/>
        <w:rPr>
          <w:sz w:val="24"/>
          <w:szCs w:val="24"/>
        </w:rPr>
      </w:pPr>
    </w:p>
    <w:p w:rsidR="00D968D4" w:rsidRPr="00925743" w:rsidRDefault="00765703" w:rsidP="00765703">
      <w:pPr>
        <w:spacing w:after="0" w:line="240" w:lineRule="auto"/>
        <w:rPr>
          <w:rFonts w:cs="Times New Roman"/>
          <w:sz w:val="24"/>
          <w:szCs w:val="24"/>
        </w:rPr>
      </w:pPr>
      <w:r w:rsidRPr="006B353B">
        <w:rPr>
          <w:b/>
          <w:sz w:val="24"/>
          <w:szCs w:val="24"/>
        </w:rPr>
        <w:t xml:space="preserve">Applicants </w:t>
      </w:r>
      <w:proofErr w:type="gramStart"/>
      <w:r w:rsidRPr="006B353B">
        <w:rPr>
          <w:b/>
          <w:sz w:val="24"/>
          <w:szCs w:val="24"/>
        </w:rPr>
        <w:t>are encouraged</w:t>
      </w:r>
      <w:proofErr w:type="gramEnd"/>
      <w:r w:rsidRPr="006B353B">
        <w:rPr>
          <w:b/>
          <w:sz w:val="24"/>
          <w:szCs w:val="24"/>
        </w:rPr>
        <w:t xml:space="preserve"> to contact Dr. Brownlee</w:t>
      </w:r>
      <w:r w:rsidR="00E9220F">
        <w:rPr>
          <w:b/>
          <w:sz w:val="24"/>
          <w:szCs w:val="24"/>
        </w:rPr>
        <w:t xml:space="preserve"> and/or Dr. Freimund</w:t>
      </w:r>
      <w:r w:rsidR="005C6ABC">
        <w:rPr>
          <w:b/>
          <w:sz w:val="24"/>
          <w:szCs w:val="24"/>
        </w:rPr>
        <w:t xml:space="preserve"> (</w:t>
      </w:r>
      <w:hyperlink r:id="rId14" w:history="1">
        <w:r w:rsidR="005C6ABC" w:rsidRPr="00014DEE">
          <w:rPr>
            <w:rStyle w:val="Hyperlink"/>
            <w:rFonts w:cstheme="minorBidi"/>
            <w:sz w:val="24"/>
            <w:szCs w:val="24"/>
          </w:rPr>
          <w:t>wfreimu@clemson.edu</w:t>
        </w:r>
      </w:hyperlink>
      <w:r w:rsidR="005C6ABC">
        <w:rPr>
          <w:b/>
          <w:sz w:val="24"/>
          <w:szCs w:val="24"/>
        </w:rPr>
        <w:t xml:space="preserve">) </w:t>
      </w:r>
      <w:r w:rsidRPr="006B353B">
        <w:rPr>
          <w:b/>
          <w:sz w:val="24"/>
          <w:szCs w:val="24"/>
        </w:rPr>
        <w:t>to discuss the research and assistantship</w:t>
      </w:r>
      <w:r w:rsidR="00F22440">
        <w:rPr>
          <w:b/>
          <w:sz w:val="24"/>
          <w:szCs w:val="24"/>
        </w:rPr>
        <w:t>s</w:t>
      </w:r>
      <w:r w:rsidRPr="006B353B">
        <w:rPr>
          <w:b/>
          <w:sz w:val="24"/>
          <w:szCs w:val="24"/>
        </w:rPr>
        <w:t xml:space="preserve"> prior to submitting their application materials.</w:t>
      </w:r>
      <w:r w:rsidRPr="00925743">
        <w:rPr>
          <w:sz w:val="24"/>
          <w:szCs w:val="24"/>
        </w:rPr>
        <w:t xml:space="preserve"> </w:t>
      </w:r>
    </w:p>
    <w:p w:rsidR="00D968D4" w:rsidRDefault="00D968D4" w:rsidP="00D968D4">
      <w:pPr>
        <w:spacing w:after="0" w:line="240" w:lineRule="auto"/>
        <w:jc w:val="center"/>
        <w:rPr>
          <w:rFonts w:cs="Times New Roman"/>
        </w:rPr>
      </w:pPr>
    </w:p>
    <w:sectPr w:rsidR="00D968D4" w:rsidSect="0076570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607AC"/>
    <w:multiLevelType w:val="hybridMultilevel"/>
    <w:tmpl w:val="F01AA032"/>
    <w:lvl w:ilvl="0" w:tplc="3BC8F41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119ABFF6">
      <w:start w:val="1"/>
      <w:numFmt w:val="bullet"/>
      <w:lvlText w:val="•"/>
      <w:lvlJc w:val="left"/>
      <w:pPr>
        <w:ind w:left="1836" w:hanging="361"/>
      </w:pPr>
      <w:rPr>
        <w:rFonts w:hint="default"/>
      </w:rPr>
    </w:lvl>
    <w:lvl w:ilvl="2" w:tplc="EA320672">
      <w:start w:val="1"/>
      <w:numFmt w:val="bullet"/>
      <w:lvlText w:val="•"/>
      <w:lvlJc w:val="left"/>
      <w:pPr>
        <w:ind w:left="2852" w:hanging="361"/>
      </w:pPr>
      <w:rPr>
        <w:rFonts w:hint="default"/>
      </w:rPr>
    </w:lvl>
    <w:lvl w:ilvl="3" w:tplc="C76AD470">
      <w:start w:val="1"/>
      <w:numFmt w:val="bullet"/>
      <w:lvlText w:val="•"/>
      <w:lvlJc w:val="left"/>
      <w:pPr>
        <w:ind w:left="3868" w:hanging="361"/>
      </w:pPr>
      <w:rPr>
        <w:rFonts w:hint="default"/>
      </w:rPr>
    </w:lvl>
    <w:lvl w:ilvl="4" w:tplc="5CF6A3E6">
      <w:start w:val="1"/>
      <w:numFmt w:val="bullet"/>
      <w:lvlText w:val="•"/>
      <w:lvlJc w:val="left"/>
      <w:pPr>
        <w:ind w:left="4884" w:hanging="361"/>
      </w:pPr>
      <w:rPr>
        <w:rFonts w:hint="default"/>
      </w:rPr>
    </w:lvl>
    <w:lvl w:ilvl="5" w:tplc="1CB0EB2C">
      <w:start w:val="1"/>
      <w:numFmt w:val="bullet"/>
      <w:lvlText w:val="•"/>
      <w:lvlJc w:val="left"/>
      <w:pPr>
        <w:ind w:left="5900" w:hanging="361"/>
      </w:pPr>
      <w:rPr>
        <w:rFonts w:hint="default"/>
      </w:rPr>
    </w:lvl>
    <w:lvl w:ilvl="6" w:tplc="77D0DB4C">
      <w:start w:val="1"/>
      <w:numFmt w:val="bullet"/>
      <w:lvlText w:val="•"/>
      <w:lvlJc w:val="left"/>
      <w:pPr>
        <w:ind w:left="6916" w:hanging="361"/>
      </w:pPr>
      <w:rPr>
        <w:rFonts w:hint="default"/>
      </w:rPr>
    </w:lvl>
    <w:lvl w:ilvl="7" w:tplc="7056FED2">
      <w:start w:val="1"/>
      <w:numFmt w:val="bullet"/>
      <w:lvlText w:val="•"/>
      <w:lvlJc w:val="left"/>
      <w:pPr>
        <w:ind w:left="7932" w:hanging="361"/>
      </w:pPr>
      <w:rPr>
        <w:rFonts w:hint="default"/>
      </w:rPr>
    </w:lvl>
    <w:lvl w:ilvl="8" w:tplc="4992D658">
      <w:start w:val="1"/>
      <w:numFmt w:val="bullet"/>
      <w:lvlText w:val="•"/>
      <w:lvlJc w:val="left"/>
      <w:pPr>
        <w:ind w:left="8948" w:hanging="361"/>
      </w:pPr>
      <w:rPr>
        <w:rFonts w:hint="default"/>
      </w:rPr>
    </w:lvl>
  </w:abstractNum>
  <w:abstractNum w:abstractNumId="1" w15:restartNumberingAfterBreak="0">
    <w:nsid w:val="7DA57AC8"/>
    <w:multiLevelType w:val="hybridMultilevel"/>
    <w:tmpl w:val="41B08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B5"/>
    <w:rsid w:val="000E0C68"/>
    <w:rsid w:val="000E43D0"/>
    <w:rsid w:val="0013300C"/>
    <w:rsid w:val="002C73A5"/>
    <w:rsid w:val="00356E19"/>
    <w:rsid w:val="004841B2"/>
    <w:rsid w:val="005C6ABC"/>
    <w:rsid w:val="00621D73"/>
    <w:rsid w:val="006413E2"/>
    <w:rsid w:val="006978B0"/>
    <w:rsid w:val="006B353B"/>
    <w:rsid w:val="00757AB5"/>
    <w:rsid w:val="00765703"/>
    <w:rsid w:val="00906ED2"/>
    <w:rsid w:val="00A838DF"/>
    <w:rsid w:val="00BC2FF5"/>
    <w:rsid w:val="00BC4F68"/>
    <w:rsid w:val="00CC4A14"/>
    <w:rsid w:val="00D31EBC"/>
    <w:rsid w:val="00D807EC"/>
    <w:rsid w:val="00D968D4"/>
    <w:rsid w:val="00E32A80"/>
    <w:rsid w:val="00E9220F"/>
    <w:rsid w:val="00EE26BB"/>
    <w:rsid w:val="00F17F86"/>
    <w:rsid w:val="00F2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4C564-B8B6-4D81-8711-8AEDA3C0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AB5"/>
    <w:rPr>
      <w:rFonts w:cs="Times New Roman"/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D968D4"/>
    <w:pPr>
      <w:widowControl w:val="0"/>
      <w:spacing w:after="0" w:line="240" w:lineRule="auto"/>
      <w:ind w:left="10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D968D4"/>
    <w:rPr>
      <w:rFonts w:ascii="Calibri" w:eastAsia="Calibri" w:hAnsi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B35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mson.edu/" TargetMode="External"/><Relationship Id="rId13" Type="http://schemas.openxmlformats.org/officeDocument/2006/relationships/hyperlink" Target="mailto:mbrownl@clemson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emson.edu/cbshs/departments/prtm/" TargetMode="External"/><Relationship Id="rId12" Type="http://schemas.openxmlformats.org/officeDocument/2006/relationships/hyperlink" Target="mailto:mbrownl@clemson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www.clemson.edu/cbshs/centers-institutes/institute-for-parks/index.htm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clemson.edu/cbshs/departments/prtm/about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emson.edu/cbshs/faculty-staff/profiles/mbrownl" TargetMode="External"/><Relationship Id="rId14" Type="http://schemas.openxmlformats.org/officeDocument/2006/relationships/hyperlink" Target="mailto:wfreimu@clem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Matthew TJ Brownlee</cp:lastModifiedBy>
  <cp:revision>2</cp:revision>
  <cp:lastPrinted>2017-11-20T13:13:00Z</cp:lastPrinted>
  <dcterms:created xsi:type="dcterms:W3CDTF">2017-11-20T13:14:00Z</dcterms:created>
  <dcterms:modified xsi:type="dcterms:W3CDTF">2017-11-20T13:14:00Z</dcterms:modified>
</cp:coreProperties>
</file>