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8" w:rsidRPr="00AA0B37" w:rsidRDefault="003A6C88" w:rsidP="003A6C8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32"/>
        </w:rPr>
      </w:pPr>
      <w:r w:rsidRPr="00AA0B37">
        <w:rPr>
          <w:rFonts w:asciiTheme="majorHAnsi" w:hAnsiTheme="majorHAnsi" w:cs="Calibri"/>
          <w:b/>
          <w:sz w:val="32"/>
        </w:rPr>
        <w:t>Terms of Reference</w:t>
      </w:r>
      <w:r w:rsidR="00850B03" w:rsidRPr="00AA0B37">
        <w:rPr>
          <w:rFonts w:asciiTheme="majorHAnsi" w:hAnsiTheme="majorHAnsi" w:cs="Calibri"/>
          <w:b/>
          <w:sz w:val="32"/>
        </w:rPr>
        <w:t>:</w:t>
      </w:r>
    </w:p>
    <w:p w:rsidR="003A6C88" w:rsidRPr="00AA0B37" w:rsidRDefault="00607D95" w:rsidP="003A6C88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sz w:val="32"/>
        </w:rPr>
      </w:pPr>
      <w:proofErr w:type="gramStart"/>
      <w:r w:rsidRPr="00AA0B37">
        <w:rPr>
          <w:rFonts w:asciiTheme="majorHAnsi" w:hAnsiTheme="majorHAnsi" w:cs="Calibri"/>
          <w:color w:val="1A1A1A"/>
          <w:sz w:val="32"/>
        </w:rPr>
        <w:t>Development of</w:t>
      </w:r>
      <w:r w:rsidR="003A6C88" w:rsidRPr="00AA0B37">
        <w:rPr>
          <w:rFonts w:asciiTheme="majorHAnsi" w:hAnsiTheme="majorHAnsi" w:cs="Calibri"/>
          <w:color w:val="1A1A1A"/>
          <w:sz w:val="32"/>
        </w:rPr>
        <w:t xml:space="preserve"> a Socioeconomic Baseline</w:t>
      </w:r>
      <w:r w:rsidR="00B914AA" w:rsidRPr="00AA0B37">
        <w:rPr>
          <w:rFonts w:asciiTheme="majorHAnsi" w:hAnsiTheme="majorHAnsi" w:cs="Calibri"/>
          <w:color w:val="1A1A1A"/>
          <w:sz w:val="32"/>
        </w:rPr>
        <w:t xml:space="preserve"> </w:t>
      </w:r>
      <w:r w:rsidRPr="00AA0B37">
        <w:rPr>
          <w:rFonts w:asciiTheme="majorHAnsi" w:hAnsiTheme="majorHAnsi" w:cs="Calibri"/>
          <w:color w:val="1A1A1A"/>
          <w:sz w:val="32"/>
        </w:rPr>
        <w:t xml:space="preserve">Assessment </w:t>
      </w:r>
      <w:r w:rsidR="007E2139" w:rsidRPr="00AA0B37">
        <w:rPr>
          <w:rFonts w:asciiTheme="majorHAnsi" w:hAnsiTheme="majorHAnsi" w:cs="Calibri"/>
          <w:color w:val="1A1A1A"/>
          <w:sz w:val="32"/>
        </w:rPr>
        <w:t xml:space="preserve">and Monitoring Plan </w:t>
      </w:r>
      <w:r w:rsidR="00B914AA" w:rsidRPr="00AA0B37">
        <w:rPr>
          <w:rFonts w:asciiTheme="majorHAnsi" w:hAnsiTheme="majorHAnsi" w:cs="Calibri"/>
          <w:color w:val="1A1A1A"/>
          <w:sz w:val="32"/>
        </w:rPr>
        <w:t xml:space="preserve">for </w:t>
      </w:r>
      <w:r w:rsidR="00850B03" w:rsidRPr="00AA0B37">
        <w:rPr>
          <w:rFonts w:asciiTheme="majorHAnsi" w:hAnsiTheme="majorHAnsi" w:cs="Calibri"/>
          <w:color w:val="1A1A1A"/>
          <w:sz w:val="32"/>
        </w:rPr>
        <w:t xml:space="preserve">the </w:t>
      </w:r>
      <w:r w:rsidRPr="00AA0B37">
        <w:rPr>
          <w:rFonts w:asciiTheme="majorHAnsi" w:hAnsiTheme="majorHAnsi" w:cs="Calibri"/>
          <w:color w:val="1A1A1A"/>
          <w:sz w:val="32"/>
        </w:rPr>
        <w:t>São Félix do</w:t>
      </w:r>
      <w:proofErr w:type="gramEnd"/>
      <w:r w:rsidRPr="00AA0B37">
        <w:rPr>
          <w:rFonts w:asciiTheme="majorHAnsi" w:hAnsiTheme="majorHAnsi" w:cs="Calibri"/>
          <w:color w:val="1A1A1A"/>
          <w:sz w:val="32"/>
        </w:rPr>
        <w:t xml:space="preserve"> Xingu </w:t>
      </w:r>
      <w:r w:rsidR="00850B03" w:rsidRPr="00AA0B37">
        <w:rPr>
          <w:rFonts w:asciiTheme="majorHAnsi" w:hAnsiTheme="majorHAnsi" w:cs="Calibri"/>
          <w:color w:val="1A1A1A"/>
          <w:sz w:val="32"/>
        </w:rPr>
        <w:t>Green Development Program</w:t>
      </w:r>
    </w:p>
    <w:p w:rsidR="003A6C88" w:rsidRPr="00AA0B37" w:rsidRDefault="003A6C88" w:rsidP="003A6C88">
      <w:pPr>
        <w:pStyle w:val="Heading1"/>
        <w:rPr>
          <w:rFonts w:cs="Times"/>
        </w:rPr>
      </w:pPr>
      <w:r w:rsidRPr="00AA0B37">
        <w:t xml:space="preserve">INTRODUCTION AND BACKGROUND </w:t>
      </w:r>
    </w:p>
    <w:p w:rsidR="00607D95" w:rsidRPr="00AA0B37" w:rsidRDefault="003A6C88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A0B37">
        <w:rPr>
          <w:rFonts w:asciiTheme="majorHAnsi" w:hAnsiTheme="majorHAnsi" w:cs="Calibri"/>
        </w:rPr>
        <w:t xml:space="preserve">The Nature Conservancy (TNC) is a non‐profit organization that operates in support of environmental conservation in over 35 countries. Its mission is to </w:t>
      </w:r>
      <w:r w:rsidR="00607D95" w:rsidRPr="00AA0B37">
        <w:rPr>
          <w:rFonts w:asciiTheme="majorHAnsi" w:hAnsiTheme="majorHAnsi" w:cs="Calibri"/>
        </w:rPr>
        <w:t>conserve the lands and waters on which all life depends.</w:t>
      </w:r>
    </w:p>
    <w:p w:rsidR="003A6C88" w:rsidRPr="00AA0B37" w:rsidRDefault="00607D95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A0B37">
        <w:rPr>
          <w:rFonts w:asciiTheme="majorHAnsi" w:hAnsiTheme="majorHAnsi" w:cs="Calibri"/>
        </w:rPr>
        <w:t xml:space="preserve">São Félix do Xingu (SFX) is a municipality in Para State, located in the Amazon region known as the Arc of Deforestation.  </w:t>
      </w:r>
      <w:r w:rsidR="003A6C88" w:rsidRPr="00AA0B37">
        <w:rPr>
          <w:rFonts w:asciiTheme="majorHAnsi" w:hAnsiTheme="majorHAnsi" w:cs="Calibri"/>
        </w:rPr>
        <w:t>Since 2008, the Conservanc</w:t>
      </w:r>
      <w:r w:rsidR="00850B03" w:rsidRPr="00AA0B37">
        <w:rPr>
          <w:rFonts w:asciiTheme="majorHAnsi" w:hAnsiTheme="majorHAnsi" w:cs="Calibri"/>
        </w:rPr>
        <w:t xml:space="preserve">y has </w:t>
      </w:r>
      <w:r w:rsidRPr="00AA0B37">
        <w:rPr>
          <w:rFonts w:asciiTheme="majorHAnsi" w:hAnsiTheme="majorHAnsi" w:cs="Calibri"/>
        </w:rPr>
        <w:t xml:space="preserve">been developing </w:t>
      </w:r>
      <w:r w:rsidR="003A6C88" w:rsidRPr="00AA0B37">
        <w:rPr>
          <w:rFonts w:asciiTheme="majorHAnsi" w:hAnsiTheme="majorHAnsi" w:cs="Calibri"/>
        </w:rPr>
        <w:t>activities in SFX for the control and reduction of defor</w:t>
      </w:r>
      <w:r w:rsidRPr="00AA0B37">
        <w:rPr>
          <w:rFonts w:asciiTheme="majorHAnsi" w:hAnsiTheme="majorHAnsi" w:cs="Calibri"/>
        </w:rPr>
        <w:t>e</w:t>
      </w:r>
      <w:r w:rsidR="00471C08" w:rsidRPr="00AA0B37">
        <w:rPr>
          <w:rFonts w:asciiTheme="majorHAnsi" w:hAnsiTheme="majorHAnsi" w:cs="Calibri"/>
        </w:rPr>
        <w:t>station and forest degradation; supporting</w:t>
      </w:r>
      <w:r w:rsidR="003A6C88" w:rsidRPr="00AA0B37">
        <w:rPr>
          <w:rFonts w:asciiTheme="majorHAnsi" w:hAnsiTheme="majorHAnsi" w:cs="Calibri"/>
        </w:rPr>
        <w:t xml:space="preserve"> </w:t>
      </w:r>
      <w:r w:rsidR="006577B0" w:rsidRPr="00AA0B37">
        <w:rPr>
          <w:rFonts w:asciiTheme="majorHAnsi" w:hAnsiTheme="majorHAnsi" w:cs="Calibri"/>
        </w:rPr>
        <w:t>improved agricultural practices</w:t>
      </w:r>
      <w:r w:rsidR="003A6C88" w:rsidRPr="00AA0B37">
        <w:rPr>
          <w:rFonts w:asciiTheme="majorHAnsi" w:hAnsiTheme="majorHAnsi" w:cs="Calibri"/>
        </w:rPr>
        <w:t xml:space="preserve"> and </w:t>
      </w:r>
      <w:r w:rsidR="00471C08" w:rsidRPr="00AA0B37">
        <w:rPr>
          <w:rFonts w:asciiTheme="majorHAnsi" w:hAnsiTheme="majorHAnsi" w:cs="Calibri"/>
        </w:rPr>
        <w:t>intensification of</w:t>
      </w:r>
      <w:r w:rsidR="003A6C88" w:rsidRPr="00AA0B37">
        <w:rPr>
          <w:rFonts w:asciiTheme="majorHAnsi" w:hAnsiTheme="majorHAnsi" w:cs="Calibri"/>
        </w:rPr>
        <w:t xml:space="preserve"> </w:t>
      </w:r>
      <w:r w:rsidR="006577B0" w:rsidRPr="00AA0B37">
        <w:rPr>
          <w:rFonts w:asciiTheme="majorHAnsi" w:hAnsiTheme="majorHAnsi" w:cs="Calibri"/>
        </w:rPr>
        <w:t>cattle ranching</w:t>
      </w:r>
      <w:r w:rsidR="003A6C88" w:rsidRPr="00AA0B37">
        <w:rPr>
          <w:rFonts w:asciiTheme="majorHAnsi" w:hAnsiTheme="majorHAnsi" w:cs="Calibri"/>
        </w:rPr>
        <w:t xml:space="preserve"> </w:t>
      </w:r>
      <w:r w:rsidR="007575DD" w:rsidRPr="00AA0B37">
        <w:rPr>
          <w:rFonts w:asciiTheme="majorHAnsi" w:hAnsiTheme="majorHAnsi" w:cs="Calibri"/>
        </w:rPr>
        <w:t>(among other strategies</w:t>
      </w:r>
      <w:r w:rsidR="00471C08" w:rsidRPr="00AA0B37">
        <w:rPr>
          <w:rFonts w:asciiTheme="majorHAnsi" w:hAnsiTheme="majorHAnsi" w:cs="Calibri"/>
        </w:rPr>
        <w:t xml:space="preserve">) </w:t>
      </w:r>
      <w:r w:rsidR="003A6C88" w:rsidRPr="00AA0B37">
        <w:rPr>
          <w:rFonts w:asciiTheme="majorHAnsi" w:hAnsiTheme="majorHAnsi" w:cs="Calibri"/>
        </w:rPr>
        <w:t xml:space="preserve">as fundamental activities </w:t>
      </w:r>
      <w:r w:rsidR="00471C08" w:rsidRPr="00AA0B37">
        <w:rPr>
          <w:rFonts w:asciiTheme="majorHAnsi" w:hAnsiTheme="majorHAnsi" w:cs="Calibri"/>
        </w:rPr>
        <w:t>to promote</w:t>
      </w:r>
      <w:r w:rsidR="003A6C88" w:rsidRPr="00AA0B37">
        <w:rPr>
          <w:rFonts w:asciiTheme="majorHAnsi" w:hAnsiTheme="majorHAnsi" w:cs="Calibri"/>
        </w:rPr>
        <w:t xml:space="preserve"> </w:t>
      </w:r>
      <w:r w:rsidR="00471C08" w:rsidRPr="00AA0B37">
        <w:rPr>
          <w:rFonts w:asciiTheme="majorHAnsi" w:hAnsiTheme="majorHAnsi" w:cs="Calibri"/>
        </w:rPr>
        <w:t>forest-friendly</w:t>
      </w:r>
      <w:r w:rsidR="003A6C88" w:rsidRPr="00AA0B37">
        <w:rPr>
          <w:rFonts w:asciiTheme="majorHAnsi" w:hAnsiTheme="majorHAnsi" w:cs="Calibri"/>
        </w:rPr>
        <w:t xml:space="preserve"> socioeconomic development </w:t>
      </w:r>
      <w:r w:rsidR="00471C08" w:rsidRPr="00AA0B37">
        <w:rPr>
          <w:rFonts w:asciiTheme="majorHAnsi" w:hAnsiTheme="majorHAnsi" w:cs="Calibri"/>
        </w:rPr>
        <w:t>for</w:t>
      </w:r>
      <w:r w:rsidR="003A6C88" w:rsidRPr="00AA0B37">
        <w:rPr>
          <w:rFonts w:asciiTheme="majorHAnsi" w:hAnsiTheme="majorHAnsi" w:cs="Calibri"/>
        </w:rPr>
        <w:t xml:space="preserve"> local actors. These initiatives have the potential to contribute to the conservation</w:t>
      </w:r>
      <w:r w:rsidR="00850B03" w:rsidRPr="00AA0B37">
        <w:rPr>
          <w:rFonts w:asciiTheme="majorHAnsi" w:hAnsiTheme="majorHAnsi" w:cs="Calibri"/>
        </w:rPr>
        <w:t xml:space="preserve"> and</w:t>
      </w:r>
      <w:r w:rsidR="003A6C88" w:rsidRPr="00AA0B37">
        <w:rPr>
          <w:rFonts w:asciiTheme="majorHAnsi" w:hAnsiTheme="majorHAnsi" w:cs="Calibri"/>
        </w:rPr>
        <w:t xml:space="preserve"> sustainable management of forests and enhancement of carbon stocks, </w:t>
      </w:r>
      <w:r w:rsidR="007575DD" w:rsidRPr="00AA0B37">
        <w:rPr>
          <w:rFonts w:asciiTheme="majorHAnsi" w:hAnsiTheme="majorHAnsi" w:cs="Calibri"/>
        </w:rPr>
        <w:t xml:space="preserve">while </w:t>
      </w:r>
      <w:r w:rsidR="003A6C88" w:rsidRPr="00AA0B37">
        <w:rPr>
          <w:rFonts w:asciiTheme="majorHAnsi" w:hAnsiTheme="majorHAnsi" w:cs="Calibri"/>
        </w:rPr>
        <w:t xml:space="preserve">generating important social and environmental benefits. Although many efforts are being made, the </w:t>
      </w:r>
      <w:r w:rsidR="00FF498A" w:rsidRPr="00AA0B37">
        <w:rPr>
          <w:rFonts w:asciiTheme="majorHAnsi" w:hAnsiTheme="majorHAnsi" w:cs="Calibri"/>
        </w:rPr>
        <w:t>effects</w:t>
      </w:r>
      <w:r w:rsidR="003A6C88" w:rsidRPr="00AA0B37">
        <w:rPr>
          <w:rFonts w:asciiTheme="majorHAnsi" w:hAnsiTheme="majorHAnsi" w:cs="Calibri"/>
        </w:rPr>
        <w:t xml:space="preserve"> on </w:t>
      </w:r>
      <w:r w:rsidR="00C36A7C" w:rsidRPr="00AA0B37">
        <w:rPr>
          <w:rFonts w:asciiTheme="majorHAnsi" w:hAnsiTheme="majorHAnsi" w:cs="Calibri"/>
        </w:rPr>
        <w:t xml:space="preserve">improvement of </w:t>
      </w:r>
      <w:r w:rsidR="003A6C88" w:rsidRPr="00AA0B37">
        <w:rPr>
          <w:rFonts w:asciiTheme="majorHAnsi" w:hAnsiTheme="majorHAnsi" w:cs="Calibri"/>
        </w:rPr>
        <w:t>rural production, income and quality of life of local actors are not</w:t>
      </w:r>
      <w:r w:rsidR="00471C08" w:rsidRPr="00AA0B37">
        <w:rPr>
          <w:rFonts w:asciiTheme="majorHAnsi" w:hAnsiTheme="majorHAnsi" w:cs="Calibri"/>
        </w:rPr>
        <w:t xml:space="preserve"> yet</w:t>
      </w:r>
      <w:r w:rsidR="003A6C88" w:rsidRPr="00AA0B37">
        <w:rPr>
          <w:rFonts w:asciiTheme="majorHAnsi" w:hAnsiTheme="majorHAnsi" w:cs="Calibri"/>
        </w:rPr>
        <w:t xml:space="preserve"> </w:t>
      </w:r>
      <w:r w:rsidR="00471C08" w:rsidRPr="00AA0B37">
        <w:rPr>
          <w:rFonts w:asciiTheme="majorHAnsi" w:hAnsiTheme="majorHAnsi" w:cs="Calibri"/>
        </w:rPr>
        <w:t>systematically</w:t>
      </w:r>
      <w:r w:rsidR="003A6C88" w:rsidRPr="00AA0B37">
        <w:rPr>
          <w:rFonts w:asciiTheme="majorHAnsi" w:hAnsiTheme="majorHAnsi" w:cs="Calibri"/>
        </w:rPr>
        <w:t xml:space="preserve"> </w:t>
      </w:r>
      <w:r w:rsidR="00C36A7C" w:rsidRPr="00AA0B37">
        <w:rPr>
          <w:rFonts w:asciiTheme="majorHAnsi" w:hAnsiTheme="majorHAnsi" w:cs="Calibri"/>
        </w:rPr>
        <w:t>measured</w:t>
      </w:r>
      <w:r w:rsidR="003A6C88" w:rsidRPr="00AA0B37">
        <w:rPr>
          <w:rFonts w:asciiTheme="majorHAnsi" w:hAnsiTheme="majorHAnsi" w:cs="Calibri"/>
        </w:rPr>
        <w:t xml:space="preserve"> and monitored. </w:t>
      </w:r>
    </w:p>
    <w:p w:rsidR="00F7654D" w:rsidRPr="00F7654D" w:rsidRDefault="00F7654D" w:rsidP="00D61E90">
      <w:pPr>
        <w:pStyle w:val="Heading1"/>
        <w:rPr>
          <w:rFonts w:cs="Times"/>
        </w:rPr>
      </w:pPr>
      <w:r>
        <w:t>PROJECT CONTEXT</w:t>
      </w:r>
    </w:p>
    <w:p w:rsidR="003A6C88" w:rsidRPr="00AA0B37" w:rsidRDefault="00C36A7C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0B37">
        <w:rPr>
          <w:rFonts w:asciiTheme="majorHAnsi" w:hAnsiTheme="majorHAnsi" w:cs="Calibri"/>
        </w:rPr>
        <w:t xml:space="preserve">Many of the strategies and activities to reduce deforestation in SFX directly target </w:t>
      </w:r>
      <w:r w:rsidR="00471C08" w:rsidRPr="00AA0B37">
        <w:rPr>
          <w:rFonts w:asciiTheme="majorHAnsi" w:hAnsiTheme="majorHAnsi" w:cs="Calibri"/>
        </w:rPr>
        <w:t xml:space="preserve">actors on the ground to </w:t>
      </w:r>
      <w:r w:rsidRPr="00AA0B37">
        <w:rPr>
          <w:rFonts w:asciiTheme="majorHAnsi" w:hAnsiTheme="majorHAnsi" w:cs="Calibri"/>
        </w:rPr>
        <w:t xml:space="preserve">promote forest-friendly livelihoods.  </w:t>
      </w:r>
      <w:r w:rsidR="00674320" w:rsidRPr="00AA0B37">
        <w:rPr>
          <w:rFonts w:asciiTheme="majorHAnsi" w:hAnsiTheme="majorHAnsi" w:cs="Calibri"/>
        </w:rPr>
        <w:t xml:space="preserve">Monitoring human-wellbeing is </w:t>
      </w:r>
      <w:r w:rsidRPr="00AA0B37">
        <w:rPr>
          <w:rFonts w:asciiTheme="majorHAnsi" w:hAnsiTheme="majorHAnsi" w:cs="Calibri"/>
        </w:rPr>
        <w:t xml:space="preserve">important </w:t>
      </w:r>
      <w:r w:rsidR="00674320" w:rsidRPr="00AA0B37">
        <w:rPr>
          <w:rFonts w:asciiTheme="majorHAnsi" w:hAnsiTheme="majorHAnsi" w:cs="Calibri"/>
        </w:rPr>
        <w:t>to track strategy effectiveness</w:t>
      </w:r>
      <w:r w:rsidR="00DC6B58" w:rsidRPr="00AA0B37">
        <w:rPr>
          <w:rFonts w:asciiTheme="majorHAnsi" w:hAnsiTheme="majorHAnsi" w:cs="Calibri"/>
        </w:rPr>
        <w:t xml:space="preserve"> and sustainability</w:t>
      </w:r>
      <w:r w:rsidR="00674320" w:rsidRPr="00AA0B37">
        <w:rPr>
          <w:rFonts w:asciiTheme="majorHAnsi" w:hAnsiTheme="majorHAnsi" w:cs="Calibri"/>
        </w:rPr>
        <w:t xml:space="preserve">, as well as to ensure stakeholders </w:t>
      </w:r>
      <w:r w:rsidR="00F7654D">
        <w:rPr>
          <w:rFonts w:asciiTheme="majorHAnsi" w:hAnsiTheme="majorHAnsi" w:cs="Calibri"/>
        </w:rPr>
        <w:t xml:space="preserve">in the project area </w:t>
      </w:r>
      <w:r w:rsidR="00674320" w:rsidRPr="00AA0B37">
        <w:rPr>
          <w:rFonts w:asciiTheme="majorHAnsi" w:hAnsiTheme="majorHAnsi" w:cs="Calibri"/>
        </w:rPr>
        <w:t xml:space="preserve">are </w:t>
      </w:r>
      <w:r w:rsidR="00471C08" w:rsidRPr="00AA0B37">
        <w:rPr>
          <w:rFonts w:asciiTheme="majorHAnsi" w:hAnsiTheme="majorHAnsi" w:cs="Calibri"/>
        </w:rPr>
        <w:t xml:space="preserve">experiencing human well-being </w:t>
      </w:r>
      <w:r w:rsidR="00F063E4">
        <w:rPr>
          <w:rFonts w:asciiTheme="majorHAnsi" w:hAnsiTheme="majorHAnsi" w:cs="Calibri"/>
        </w:rPr>
        <w:t>benefits</w:t>
      </w:r>
      <w:r w:rsidR="00674320" w:rsidRPr="00AA0B37">
        <w:rPr>
          <w:rFonts w:asciiTheme="majorHAnsi" w:hAnsiTheme="majorHAnsi" w:cs="Calibri"/>
        </w:rPr>
        <w:t xml:space="preserve">. </w:t>
      </w:r>
      <w:r w:rsidR="003A6C88" w:rsidRPr="00AA0B37">
        <w:rPr>
          <w:rFonts w:asciiTheme="majorHAnsi" w:hAnsiTheme="majorHAnsi" w:cs="Calibri"/>
        </w:rPr>
        <w:t xml:space="preserve">Thus, it is necessary to </w:t>
      </w:r>
      <w:r w:rsidR="00471C08" w:rsidRPr="00AA0B37">
        <w:rPr>
          <w:rFonts w:asciiTheme="majorHAnsi" w:hAnsiTheme="majorHAnsi" w:cs="Calibri"/>
        </w:rPr>
        <w:t xml:space="preserve">design a system to </w:t>
      </w:r>
      <w:r w:rsidR="003A6C88" w:rsidRPr="00AA0B37">
        <w:rPr>
          <w:rFonts w:asciiTheme="majorHAnsi" w:hAnsiTheme="majorHAnsi" w:cs="Calibri"/>
        </w:rPr>
        <w:t xml:space="preserve">collect periodic data </w:t>
      </w:r>
      <w:r w:rsidR="00471C08" w:rsidRPr="00AA0B37">
        <w:rPr>
          <w:rFonts w:asciiTheme="majorHAnsi" w:hAnsiTheme="majorHAnsi" w:cs="Calibri"/>
        </w:rPr>
        <w:t xml:space="preserve">and monitor </w:t>
      </w:r>
      <w:r w:rsidR="003A6C88" w:rsidRPr="00AA0B37">
        <w:rPr>
          <w:rFonts w:asciiTheme="majorHAnsi" w:hAnsiTheme="majorHAnsi" w:cs="Calibri"/>
        </w:rPr>
        <w:t>the project</w:t>
      </w:r>
      <w:r w:rsidR="00471C08" w:rsidRPr="00AA0B37">
        <w:rPr>
          <w:rFonts w:asciiTheme="majorHAnsi" w:hAnsiTheme="majorHAnsi" w:cs="Calibri"/>
        </w:rPr>
        <w:t>,</w:t>
      </w:r>
      <w:r w:rsidR="003A6C88" w:rsidRPr="00AA0B37">
        <w:rPr>
          <w:rFonts w:asciiTheme="majorHAnsi" w:hAnsiTheme="majorHAnsi" w:cs="Calibri"/>
        </w:rPr>
        <w:t xml:space="preserve"> </w:t>
      </w:r>
      <w:r w:rsidR="00F8171E" w:rsidRPr="00AA0B37">
        <w:rPr>
          <w:rFonts w:asciiTheme="majorHAnsi" w:hAnsiTheme="majorHAnsi" w:cs="Calibri"/>
        </w:rPr>
        <w:t>to</w:t>
      </w:r>
      <w:r w:rsidR="003A6C88" w:rsidRPr="00AA0B37">
        <w:rPr>
          <w:rFonts w:asciiTheme="majorHAnsi" w:hAnsiTheme="majorHAnsi" w:cs="Calibri"/>
        </w:rPr>
        <w:t xml:space="preserve"> ensure </w:t>
      </w:r>
      <w:r w:rsidR="00F8171E" w:rsidRPr="00AA0B37">
        <w:rPr>
          <w:rFonts w:asciiTheme="majorHAnsi" w:hAnsiTheme="majorHAnsi" w:cs="Calibri"/>
        </w:rPr>
        <w:t>its</w:t>
      </w:r>
      <w:r w:rsidR="003A6C88" w:rsidRPr="00AA0B37">
        <w:rPr>
          <w:rFonts w:asciiTheme="majorHAnsi" w:hAnsiTheme="majorHAnsi" w:cs="Calibri"/>
        </w:rPr>
        <w:t xml:space="preserve"> proper implementation</w:t>
      </w:r>
      <w:r w:rsidR="00674320" w:rsidRPr="00AA0B37">
        <w:rPr>
          <w:rFonts w:asciiTheme="majorHAnsi" w:hAnsiTheme="majorHAnsi" w:cs="Calibri"/>
        </w:rPr>
        <w:t xml:space="preserve"> and measure </w:t>
      </w:r>
      <w:r w:rsidR="00F7654D">
        <w:rPr>
          <w:rFonts w:asciiTheme="majorHAnsi" w:hAnsiTheme="majorHAnsi" w:cs="Calibri"/>
        </w:rPr>
        <w:t>changes in</w:t>
      </w:r>
      <w:r w:rsidR="00674320" w:rsidRPr="00AA0B37">
        <w:rPr>
          <w:rFonts w:asciiTheme="majorHAnsi" w:hAnsiTheme="majorHAnsi" w:cs="Calibri"/>
        </w:rPr>
        <w:t xml:space="preserve"> </w:t>
      </w:r>
      <w:r w:rsidR="006577B0" w:rsidRPr="00AA0B37">
        <w:rPr>
          <w:rFonts w:asciiTheme="majorHAnsi" w:hAnsiTheme="majorHAnsi" w:cs="Calibri"/>
        </w:rPr>
        <w:t>human well-being</w:t>
      </w:r>
      <w:r w:rsidR="003A6C88" w:rsidRPr="00AA0B37">
        <w:rPr>
          <w:rFonts w:asciiTheme="majorHAnsi" w:hAnsiTheme="majorHAnsi" w:cs="Calibri"/>
        </w:rPr>
        <w:t xml:space="preserve">. </w:t>
      </w:r>
    </w:p>
    <w:p w:rsidR="003A6C88" w:rsidRPr="00AA0B37" w:rsidRDefault="003A6C88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A0B37">
        <w:rPr>
          <w:rFonts w:asciiTheme="majorHAnsi" w:hAnsiTheme="majorHAnsi" w:cs="Calibri"/>
        </w:rPr>
        <w:t xml:space="preserve">For this reason, </w:t>
      </w:r>
      <w:r w:rsidR="00DC6B58" w:rsidRPr="00AA0B37">
        <w:rPr>
          <w:rFonts w:asciiTheme="majorHAnsi" w:hAnsiTheme="majorHAnsi" w:cs="Calibri"/>
        </w:rPr>
        <w:t>through this</w:t>
      </w:r>
      <w:r w:rsidRPr="00AA0B37">
        <w:rPr>
          <w:rFonts w:asciiTheme="majorHAnsi" w:hAnsiTheme="majorHAnsi" w:cs="Calibri"/>
        </w:rPr>
        <w:t xml:space="preserve"> Terms of Reference </w:t>
      </w:r>
      <w:r w:rsidR="00DC6B58" w:rsidRPr="00AA0B37">
        <w:rPr>
          <w:rFonts w:asciiTheme="majorHAnsi" w:hAnsiTheme="majorHAnsi" w:cs="Calibri"/>
        </w:rPr>
        <w:t xml:space="preserve">we </w:t>
      </w:r>
      <w:r w:rsidR="00F063E4">
        <w:rPr>
          <w:rFonts w:asciiTheme="majorHAnsi" w:hAnsiTheme="majorHAnsi" w:cs="Calibri"/>
        </w:rPr>
        <w:t>desire</w:t>
      </w:r>
      <w:r w:rsidRPr="00AA0B37">
        <w:rPr>
          <w:rFonts w:asciiTheme="majorHAnsi" w:hAnsiTheme="majorHAnsi" w:cs="Calibri"/>
        </w:rPr>
        <w:t xml:space="preserve"> to </w:t>
      </w:r>
      <w:r w:rsidR="00F8171E" w:rsidRPr="00AA0B37">
        <w:rPr>
          <w:rFonts w:asciiTheme="majorHAnsi" w:hAnsiTheme="majorHAnsi" w:cs="Calibri"/>
        </w:rPr>
        <w:t>hire</w:t>
      </w:r>
      <w:r w:rsidRPr="00AA0B37">
        <w:rPr>
          <w:rFonts w:asciiTheme="majorHAnsi" w:hAnsiTheme="majorHAnsi" w:cs="Calibri"/>
        </w:rPr>
        <w:t xml:space="preserve"> a consultant, in the form of </w:t>
      </w:r>
      <w:r w:rsidR="00F8171E" w:rsidRPr="00AA0B37">
        <w:rPr>
          <w:rFonts w:asciiTheme="majorHAnsi" w:hAnsiTheme="majorHAnsi" w:cs="Calibri"/>
        </w:rPr>
        <w:t xml:space="preserve">an </w:t>
      </w:r>
      <w:r w:rsidRPr="00AA0B37">
        <w:rPr>
          <w:rFonts w:asciiTheme="majorHAnsi" w:hAnsiTheme="majorHAnsi" w:cs="Calibri"/>
        </w:rPr>
        <w:t>individual or legal</w:t>
      </w:r>
      <w:r w:rsidR="006577B0" w:rsidRPr="00AA0B37">
        <w:rPr>
          <w:rFonts w:asciiTheme="majorHAnsi" w:hAnsiTheme="majorHAnsi" w:cs="Calibri"/>
        </w:rPr>
        <w:t xml:space="preserve"> entity, </w:t>
      </w:r>
      <w:r w:rsidR="007E2139">
        <w:rPr>
          <w:rFonts w:asciiTheme="majorHAnsi" w:hAnsiTheme="majorHAnsi" w:cs="Calibri"/>
        </w:rPr>
        <w:t xml:space="preserve">to </w:t>
      </w:r>
      <w:r w:rsidR="007E2139" w:rsidRPr="00AA0B37">
        <w:rPr>
          <w:rFonts w:asciiTheme="majorHAnsi" w:hAnsiTheme="majorHAnsi" w:cs="Calibri"/>
        </w:rPr>
        <w:t>conduct a baseline assessment</w:t>
      </w:r>
      <w:r w:rsidR="007E2139">
        <w:rPr>
          <w:rFonts w:asciiTheme="majorHAnsi" w:hAnsiTheme="majorHAnsi" w:cs="Calibri"/>
        </w:rPr>
        <w:t>,</w:t>
      </w:r>
      <w:r w:rsidR="007E2139" w:rsidRPr="007E2139">
        <w:rPr>
          <w:rFonts w:asciiTheme="majorHAnsi" w:hAnsiTheme="majorHAnsi" w:cs="Calibri"/>
        </w:rPr>
        <w:t xml:space="preserve"> </w:t>
      </w:r>
      <w:r w:rsidR="007E2139" w:rsidRPr="00AA0B37">
        <w:rPr>
          <w:rFonts w:asciiTheme="majorHAnsi" w:hAnsiTheme="majorHAnsi" w:cs="Calibri"/>
        </w:rPr>
        <w:t>collect and analyze data</w:t>
      </w:r>
      <w:r w:rsidR="007E2139">
        <w:rPr>
          <w:rFonts w:asciiTheme="majorHAnsi" w:hAnsiTheme="majorHAnsi" w:cs="Calibri"/>
        </w:rPr>
        <w:t>,</w:t>
      </w:r>
      <w:r w:rsidR="007E2139" w:rsidRPr="00AA0B37">
        <w:rPr>
          <w:rFonts w:asciiTheme="majorHAnsi" w:hAnsiTheme="majorHAnsi" w:cs="Calibri"/>
        </w:rPr>
        <w:t xml:space="preserve"> and </w:t>
      </w:r>
      <w:r w:rsidR="00471C08" w:rsidRPr="00AA0B37">
        <w:rPr>
          <w:rFonts w:asciiTheme="majorHAnsi" w:hAnsiTheme="majorHAnsi" w:cs="Calibri"/>
        </w:rPr>
        <w:t>develop</w:t>
      </w:r>
      <w:r w:rsidR="006577B0" w:rsidRPr="00AA0B37">
        <w:rPr>
          <w:rFonts w:asciiTheme="majorHAnsi" w:hAnsiTheme="majorHAnsi" w:cs="Calibri"/>
        </w:rPr>
        <w:t xml:space="preserve"> a s</w:t>
      </w:r>
      <w:r w:rsidRPr="00AA0B37">
        <w:rPr>
          <w:rFonts w:asciiTheme="majorHAnsi" w:hAnsiTheme="majorHAnsi" w:cs="Calibri"/>
        </w:rPr>
        <w:t xml:space="preserve">ocioeconomic </w:t>
      </w:r>
      <w:r w:rsidR="006577B0" w:rsidRPr="00AA0B37">
        <w:rPr>
          <w:rFonts w:asciiTheme="majorHAnsi" w:hAnsiTheme="majorHAnsi" w:cs="Calibri"/>
        </w:rPr>
        <w:t>monitoring plan</w:t>
      </w:r>
      <w:r w:rsidR="00DC6B58" w:rsidRPr="00AA0B37">
        <w:rPr>
          <w:rFonts w:asciiTheme="majorHAnsi" w:hAnsiTheme="majorHAnsi" w:cs="Calibri"/>
        </w:rPr>
        <w:t xml:space="preserve"> </w:t>
      </w:r>
      <w:r w:rsidR="006C4404">
        <w:rPr>
          <w:rFonts w:asciiTheme="majorHAnsi" w:hAnsiTheme="majorHAnsi" w:cs="Calibri"/>
        </w:rPr>
        <w:t>to track changes in human well-being</w:t>
      </w:r>
      <w:r w:rsidR="00471C08" w:rsidRPr="00AA0B37">
        <w:rPr>
          <w:rFonts w:asciiTheme="majorHAnsi" w:hAnsiTheme="majorHAnsi" w:cs="Calibri"/>
        </w:rPr>
        <w:t xml:space="preserve"> </w:t>
      </w:r>
      <w:r w:rsidR="006577B0" w:rsidRPr="00AA0B37">
        <w:rPr>
          <w:rFonts w:asciiTheme="majorHAnsi" w:hAnsiTheme="majorHAnsi" w:cs="Calibri"/>
        </w:rPr>
        <w:t xml:space="preserve">of smallholders and </w:t>
      </w:r>
      <w:proofErr w:type="spellStart"/>
      <w:r w:rsidR="006577B0" w:rsidRPr="00AA0B37">
        <w:rPr>
          <w:rFonts w:asciiTheme="majorHAnsi" w:hAnsiTheme="majorHAnsi" w:cs="Calibri"/>
        </w:rPr>
        <w:t>largeholders</w:t>
      </w:r>
      <w:proofErr w:type="spellEnd"/>
      <w:r w:rsidR="006577B0" w:rsidRPr="00AA0B37">
        <w:rPr>
          <w:rFonts w:asciiTheme="majorHAnsi" w:hAnsiTheme="majorHAnsi" w:cs="Calibri"/>
        </w:rPr>
        <w:t xml:space="preserve"> </w:t>
      </w:r>
      <w:r w:rsidR="00F063E4">
        <w:rPr>
          <w:rFonts w:asciiTheme="majorHAnsi" w:hAnsiTheme="majorHAnsi" w:cs="Calibri"/>
        </w:rPr>
        <w:t>who are participants in</w:t>
      </w:r>
      <w:r w:rsidR="006577B0" w:rsidRPr="00AA0B37">
        <w:rPr>
          <w:rFonts w:asciiTheme="majorHAnsi" w:hAnsiTheme="majorHAnsi" w:cs="Calibri"/>
        </w:rPr>
        <w:t xml:space="preserve"> the</w:t>
      </w:r>
      <w:r w:rsidRPr="00AA0B37">
        <w:rPr>
          <w:rFonts w:asciiTheme="majorHAnsi" w:hAnsiTheme="majorHAnsi" w:cs="Calibri"/>
        </w:rPr>
        <w:t xml:space="preserve"> São Felix do Xingu</w:t>
      </w:r>
      <w:r w:rsidR="006577B0" w:rsidRPr="00AA0B37">
        <w:rPr>
          <w:rFonts w:asciiTheme="majorHAnsi" w:hAnsiTheme="majorHAnsi" w:cs="Calibri"/>
        </w:rPr>
        <w:t xml:space="preserve"> Green Development Pr</w:t>
      </w:r>
      <w:r w:rsidR="00471C08" w:rsidRPr="00AA0B37">
        <w:rPr>
          <w:rFonts w:asciiTheme="majorHAnsi" w:hAnsiTheme="majorHAnsi" w:cs="Calibri"/>
        </w:rPr>
        <w:t xml:space="preserve">ogram.  This </w:t>
      </w:r>
      <w:r w:rsidR="00F7654D">
        <w:rPr>
          <w:rFonts w:asciiTheme="majorHAnsi" w:hAnsiTheme="majorHAnsi" w:cs="Calibri"/>
        </w:rPr>
        <w:t>monitoring plan</w:t>
      </w:r>
      <w:r w:rsidR="00F7654D" w:rsidRPr="00AA0B37">
        <w:rPr>
          <w:rFonts w:asciiTheme="majorHAnsi" w:hAnsiTheme="majorHAnsi" w:cs="Calibri"/>
        </w:rPr>
        <w:t xml:space="preserve"> </w:t>
      </w:r>
      <w:r w:rsidR="00471C08" w:rsidRPr="00AA0B37">
        <w:rPr>
          <w:rFonts w:asciiTheme="majorHAnsi" w:hAnsiTheme="majorHAnsi" w:cs="Calibri"/>
        </w:rPr>
        <w:t>will be</w:t>
      </w:r>
      <w:r w:rsidR="006577B0" w:rsidRPr="00AA0B37">
        <w:rPr>
          <w:rFonts w:asciiTheme="majorHAnsi" w:hAnsiTheme="majorHAnsi" w:cs="Calibri"/>
        </w:rPr>
        <w:t xml:space="preserve"> based on outcomes, objectives and indicators that have </w:t>
      </w:r>
      <w:r w:rsidR="00AD022D" w:rsidRPr="00AA0B37">
        <w:rPr>
          <w:rFonts w:asciiTheme="majorHAnsi" w:hAnsiTheme="majorHAnsi" w:cs="Calibri"/>
        </w:rPr>
        <w:t xml:space="preserve">already </w:t>
      </w:r>
      <w:r w:rsidR="006577B0" w:rsidRPr="00AA0B37">
        <w:rPr>
          <w:rFonts w:asciiTheme="majorHAnsi" w:hAnsiTheme="majorHAnsi" w:cs="Calibri"/>
        </w:rPr>
        <w:t xml:space="preserve">been </w:t>
      </w:r>
      <w:r w:rsidR="00AD022D" w:rsidRPr="00AA0B37">
        <w:rPr>
          <w:rFonts w:asciiTheme="majorHAnsi" w:hAnsiTheme="majorHAnsi" w:cs="Calibri"/>
        </w:rPr>
        <w:t>selected</w:t>
      </w:r>
      <w:r w:rsidR="006577B0" w:rsidRPr="00AA0B37">
        <w:rPr>
          <w:rFonts w:asciiTheme="majorHAnsi" w:hAnsiTheme="majorHAnsi" w:cs="Calibri"/>
        </w:rPr>
        <w:t xml:space="preserve"> for these groups</w:t>
      </w:r>
      <w:r w:rsidR="00AD022D" w:rsidRPr="00AA0B37">
        <w:rPr>
          <w:rFonts w:asciiTheme="majorHAnsi" w:hAnsiTheme="majorHAnsi" w:cs="Calibri"/>
        </w:rPr>
        <w:t xml:space="preserve"> through a previous consultancy</w:t>
      </w:r>
      <w:r w:rsidRPr="00AA0B37">
        <w:rPr>
          <w:rFonts w:asciiTheme="majorHAnsi" w:hAnsiTheme="majorHAnsi" w:cs="Calibri"/>
        </w:rPr>
        <w:t xml:space="preserve">. </w:t>
      </w:r>
      <w:r w:rsidR="006577B0" w:rsidRPr="00AA0B37">
        <w:rPr>
          <w:rFonts w:asciiTheme="majorHAnsi" w:hAnsiTheme="majorHAnsi" w:cs="Calibri"/>
        </w:rPr>
        <w:t xml:space="preserve">This work </w:t>
      </w:r>
      <w:r w:rsidR="00DC6B58" w:rsidRPr="00AA0B37">
        <w:rPr>
          <w:rFonts w:asciiTheme="majorHAnsi" w:hAnsiTheme="majorHAnsi" w:cs="Calibri"/>
        </w:rPr>
        <w:t>will be crucial to providing</w:t>
      </w:r>
      <w:r w:rsidRPr="00AA0B37">
        <w:rPr>
          <w:rFonts w:asciiTheme="majorHAnsi" w:hAnsiTheme="majorHAnsi" w:cs="Calibri"/>
        </w:rPr>
        <w:t xml:space="preserve"> TNC and its </w:t>
      </w:r>
      <w:r w:rsidR="00F063E4">
        <w:rPr>
          <w:rFonts w:asciiTheme="majorHAnsi" w:hAnsiTheme="majorHAnsi" w:cs="Calibri"/>
        </w:rPr>
        <w:t>partners with</w:t>
      </w:r>
      <w:r w:rsidRPr="00AA0B37">
        <w:rPr>
          <w:rFonts w:asciiTheme="majorHAnsi" w:hAnsiTheme="majorHAnsi" w:cs="Calibri"/>
        </w:rPr>
        <w:t xml:space="preserve"> information necessary to </w:t>
      </w:r>
      <w:r w:rsidR="00DC6B58" w:rsidRPr="00AA0B37">
        <w:rPr>
          <w:rFonts w:asciiTheme="majorHAnsi" w:hAnsiTheme="majorHAnsi" w:cs="Calibri"/>
        </w:rPr>
        <w:t xml:space="preserve">track and </w:t>
      </w:r>
      <w:r w:rsidRPr="00AA0B37">
        <w:rPr>
          <w:rFonts w:asciiTheme="majorHAnsi" w:hAnsiTheme="majorHAnsi" w:cs="Calibri"/>
        </w:rPr>
        <w:t xml:space="preserve">make adjustments </w:t>
      </w:r>
      <w:r w:rsidR="006577B0" w:rsidRPr="00AA0B37">
        <w:rPr>
          <w:rFonts w:asciiTheme="majorHAnsi" w:hAnsiTheme="majorHAnsi" w:cs="Calibri"/>
        </w:rPr>
        <w:t xml:space="preserve">to </w:t>
      </w:r>
      <w:r w:rsidRPr="00AA0B37">
        <w:rPr>
          <w:rFonts w:asciiTheme="majorHAnsi" w:hAnsiTheme="majorHAnsi" w:cs="Calibri"/>
        </w:rPr>
        <w:t xml:space="preserve">strategies </w:t>
      </w:r>
      <w:r w:rsidR="006577B0" w:rsidRPr="00AA0B37">
        <w:rPr>
          <w:rFonts w:asciiTheme="majorHAnsi" w:hAnsiTheme="majorHAnsi" w:cs="Calibri"/>
        </w:rPr>
        <w:t>that promote</w:t>
      </w:r>
      <w:r w:rsidRPr="00AA0B37">
        <w:rPr>
          <w:rFonts w:asciiTheme="majorHAnsi" w:hAnsiTheme="majorHAnsi" w:cs="Calibri"/>
        </w:rPr>
        <w:t xml:space="preserve"> sustainable rural development in the region. </w:t>
      </w:r>
    </w:p>
    <w:p w:rsidR="006127EA" w:rsidRPr="00AA0B37" w:rsidRDefault="006127EA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A0B37">
        <w:rPr>
          <w:rFonts w:asciiTheme="majorHAnsi" w:hAnsiTheme="majorHAnsi" w:cs="Calibri"/>
        </w:rPr>
        <w:t xml:space="preserve">Funds are constrained and the </w:t>
      </w:r>
      <w:r w:rsidR="00F0380E">
        <w:rPr>
          <w:rFonts w:asciiTheme="majorHAnsi" w:hAnsiTheme="majorHAnsi" w:cs="Calibri"/>
        </w:rPr>
        <w:t>study</w:t>
      </w:r>
      <w:r w:rsidR="00F0380E" w:rsidRPr="00AA0B37">
        <w:rPr>
          <w:rFonts w:asciiTheme="majorHAnsi" w:hAnsiTheme="majorHAnsi" w:cs="Calibri"/>
        </w:rPr>
        <w:t xml:space="preserve"> </w:t>
      </w:r>
      <w:r w:rsidRPr="00AA0B37">
        <w:rPr>
          <w:rFonts w:asciiTheme="majorHAnsi" w:hAnsiTheme="majorHAnsi" w:cs="Calibri"/>
        </w:rPr>
        <w:t>area is large</w:t>
      </w:r>
      <w:r w:rsidR="00AD022D" w:rsidRPr="00AA0B37">
        <w:rPr>
          <w:rFonts w:asciiTheme="majorHAnsi" w:hAnsiTheme="majorHAnsi" w:cs="Calibri"/>
        </w:rPr>
        <w:t xml:space="preserve"> and spread out (</w:t>
      </w:r>
      <w:r w:rsidR="00F0380E">
        <w:rPr>
          <w:rFonts w:asciiTheme="majorHAnsi" w:hAnsiTheme="majorHAnsi" w:cs="Calibri"/>
        </w:rPr>
        <w:t xml:space="preserve">approximately 3.5 </w:t>
      </w:r>
      <w:r w:rsidR="00FD208C">
        <w:rPr>
          <w:rFonts w:asciiTheme="majorHAnsi" w:hAnsiTheme="majorHAnsi" w:cs="Calibri"/>
        </w:rPr>
        <w:t>m</w:t>
      </w:r>
      <w:r w:rsidR="00CF781F">
        <w:rPr>
          <w:rFonts w:asciiTheme="majorHAnsi" w:hAnsiTheme="majorHAnsi" w:cs="Calibri"/>
        </w:rPr>
        <w:t>illion</w:t>
      </w:r>
      <w:r w:rsidR="00AD022D" w:rsidRPr="00AA0B37">
        <w:rPr>
          <w:rFonts w:asciiTheme="majorHAnsi" w:hAnsiTheme="majorHAnsi" w:cs="Calibri"/>
        </w:rPr>
        <w:t xml:space="preserve"> hectares with </w:t>
      </w:r>
      <w:r w:rsidR="00CF781F">
        <w:rPr>
          <w:rFonts w:asciiTheme="majorHAnsi" w:hAnsiTheme="majorHAnsi" w:cs="Calibri"/>
        </w:rPr>
        <w:t>7,000</w:t>
      </w:r>
      <w:r w:rsidR="00CF781F" w:rsidRPr="00AA0B37">
        <w:rPr>
          <w:rFonts w:asciiTheme="majorHAnsi" w:hAnsiTheme="majorHAnsi" w:cs="Calibri"/>
        </w:rPr>
        <w:t xml:space="preserve"> </w:t>
      </w:r>
      <w:r w:rsidR="00AD022D" w:rsidRPr="00AA0B37">
        <w:rPr>
          <w:rFonts w:asciiTheme="majorHAnsi" w:hAnsiTheme="majorHAnsi" w:cs="Calibri"/>
        </w:rPr>
        <w:t xml:space="preserve">smallholder households and </w:t>
      </w:r>
      <w:r w:rsidR="00CF781F">
        <w:rPr>
          <w:rFonts w:asciiTheme="majorHAnsi" w:hAnsiTheme="majorHAnsi" w:cs="Calibri"/>
        </w:rPr>
        <w:t>3,000</w:t>
      </w:r>
      <w:r w:rsidR="00CF781F" w:rsidRPr="00AA0B37">
        <w:rPr>
          <w:rFonts w:asciiTheme="majorHAnsi" w:hAnsiTheme="majorHAnsi" w:cs="Calibri"/>
        </w:rPr>
        <w:t xml:space="preserve"> </w:t>
      </w:r>
      <w:proofErr w:type="spellStart"/>
      <w:r w:rsidR="00AD022D" w:rsidRPr="00AA0B37">
        <w:rPr>
          <w:rFonts w:asciiTheme="majorHAnsi" w:hAnsiTheme="majorHAnsi" w:cs="Calibri"/>
        </w:rPr>
        <w:t>largeholder</w:t>
      </w:r>
      <w:proofErr w:type="spellEnd"/>
      <w:r w:rsidR="00AD022D" w:rsidRPr="00AA0B37">
        <w:rPr>
          <w:rFonts w:asciiTheme="majorHAnsi" w:hAnsiTheme="majorHAnsi" w:cs="Calibri"/>
        </w:rPr>
        <w:t xml:space="preserve"> households), </w:t>
      </w:r>
      <w:r w:rsidR="00AD022D" w:rsidRPr="00AA0B37">
        <w:rPr>
          <w:rFonts w:asciiTheme="majorHAnsi" w:hAnsiTheme="majorHAnsi" w:cs="Calibri"/>
        </w:rPr>
        <w:lastRenderedPageBreak/>
        <w:t xml:space="preserve">with some accessibility issues. </w:t>
      </w:r>
      <w:r w:rsidR="00F7654D">
        <w:rPr>
          <w:rFonts w:asciiTheme="majorHAnsi" w:hAnsiTheme="majorHAnsi" w:cs="Calibri"/>
        </w:rPr>
        <w:t xml:space="preserve">TNC and partner </w:t>
      </w:r>
      <w:proofErr w:type="gramStart"/>
      <w:r w:rsidR="00F7654D">
        <w:rPr>
          <w:rFonts w:asciiTheme="majorHAnsi" w:hAnsiTheme="majorHAnsi" w:cs="Calibri"/>
        </w:rPr>
        <w:t>staff interact</w:t>
      </w:r>
      <w:proofErr w:type="gramEnd"/>
      <w:r w:rsidR="00F7654D">
        <w:rPr>
          <w:rFonts w:asciiTheme="majorHAnsi" w:hAnsiTheme="majorHAnsi" w:cs="Calibri"/>
        </w:rPr>
        <w:t xml:space="preserve"> periodically with these smallholders and </w:t>
      </w:r>
      <w:proofErr w:type="spellStart"/>
      <w:r w:rsidR="00F7654D">
        <w:rPr>
          <w:rFonts w:asciiTheme="majorHAnsi" w:hAnsiTheme="majorHAnsi" w:cs="Calibri"/>
        </w:rPr>
        <w:t>largeholders</w:t>
      </w:r>
      <w:proofErr w:type="spellEnd"/>
      <w:r w:rsidR="00F7654D">
        <w:rPr>
          <w:rFonts w:asciiTheme="majorHAnsi" w:hAnsiTheme="majorHAnsi" w:cs="Calibri"/>
        </w:rPr>
        <w:t xml:space="preserve">. A monitoring plan should balance the need to be simple and cost effective with the need to provide information that supports </w:t>
      </w:r>
      <w:r w:rsidR="000D7051">
        <w:rPr>
          <w:rFonts w:asciiTheme="majorHAnsi" w:hAnsiTheme="majorHAnsi" w:cs="Calibri"/>
        </w:rPr>
        <w:t>project decision-making. The monitoring plan could employ third-part</w:t>
      </w:r>
      <w:r w:rsidR="006674CA">
        <w:rPr>
          <w:rFonts w:asciiTheme="majorHAnsi" w:hAnsiTheme="majorHAnsi" w:cs="Calibri"/>
        </w:rPr>
        <w:t>y</w:t>
      </w:r>
      <w:r w:rsidR="000D7051">
        <w:rPr>
          <w:rFonts w:asciiTheme="majorHAnsi" w:hAnsiTheme="majorHAnsi" w:cs="Calibri"/>
        </w:rPr>
        <w:t xml:space="preserve"> data collection and/or </w:t>
      </w:r>
      <w:r w:rsidR="00F7654D">
        <w:rPr>
          <w:rFonts w:asciiTheme="majorHAnsi" w:hAnsiTheme="majorHAnsi" w:cs="Calibri"/>
        </w:rPr>
        <w:t xml:space="preserve">could take advantage of staff’s opportunity </w:t>
      </w:r>
      <w:r w:rsidR="000D7051">
        <w:rPr>
          <w:rFonts w:asciiTheme="majorHAnsi" w:hAnsiTheme="majorHAnsi" w:cs="Calibri"/>
        </w:rPr>
        <w:t xml:space="preserve">and abilities </w:t>
      </w:r>
      <w:r w:rsidR="00F7654D">
        <w:rPr>
          <w:rFonts w:asciiTheme="majorHAnsi" w:hAnsiTheme="majorHAnsi" w:cs="Calibri"/>
        </w:rPr>
        <w:t>to collect data</w:t>
      </w:r>
      <w:r w:rsidR="000D7051">
        <w:rPr>
          <w:rFonts w:asciiTheme="majorHAnsi" w:hAnsiTheme="majorHAnsi" w:cs="Calibri"/>
        </w:rPr>
        <w:t xml:space="preserve">. </w:t>
      </w:r>
      <w:r w:rsidR="00AD022D" w:rsidRPr="00AA0B37">
        <w:rPr>
          <w:rFonts w:asciiTheme="majorHAnsi" w:hAnsiTheme="majorHAnsi" w:cs="Calibri"/>
        </w:rPr>
        <w:t>Ultimately</w:t>
      </w:r>
      <w:r w:rsidR="00AD022D" w:rsidRPr="007E2139">
        <w:rPr>
          <w:rFonts w:asciiTheme="majorHAnsi" w:hAnsiTheme="majorHAnsi" w:cs="Calibri"/>
        </w:rPr>
        <w:t>,</w:t>
      </w:r>
      <w:r w:rsidR="006577B0" w:rsidRPr="007E2139">
        <w:rPr>
          <w:rFonts w:asciiTheme="majorHAnsi" w:hAnsiTheme="majorHAnsi" w:cs="Calibri"/>
        </w:rPr>
        <w:t xml:space="preserve"> the contractor</w:t>
      </w:r>
      <w:r w:rsidR="000C20EB">
        <w:rPr>
          <w:rFonts w:asciiTheme="majorHAnsi" w:hAnsiTheme="majorHAnsi" w:cs="Calibri"/>
        </w:rPr>
        <w:t>,</w:t>
      </w:r>
      <w:r w:rsidR="000D7051" w:rsidRPr="007E2139">
        <w:rPr>
          <w:rFonts w:asciiTheme="majorHAnsi" w:hAnsiTheme="majorHAnsi" w:cs="Calibri"/>
        </w:rPr>
        <w:t xml:space="preserve"> </w:t>
      </w:r>
      <w:r w:rsidR="007E2139">
        <w:rPr>
          <w:rFonts w:asciiTheme="majorHAnsi" w:hAnsiTheme="majorHAnsi" w:cs="Calibri"/>
        </w:rPr>
        <w:t>in consultation with</w:t>
      </w:r>
      <w:r w:rsidR="007E2139" w:rsidRPr="007E2139">
        <w:rPr>
          <w:rFonts w:asciiTheme="majorHAnsi" w:hAnsiTheme="majorHAnsi" w:cs="Calibri"/>
        </w:rPr>
        <w:t xml:space="preserve"> </w:t>
      </w:r>
      <w:r w:rsidR="000C20EB">
        <w:rPr>
          <w:rFonts w:asciiTheme="majorHAnsi" w:hAnsiTheme="majorHAnsi" w:cs="Calibri"/>
        </w:rPr>
        <w:t xml:space="preserve">TNC, </w:t>
      </w:r>
      <w:r w:rsidR="007E2139">
        <w:rPr>
          <w:rFonts w:asciiTheme="majorHAnsi" w:hAnsiTheme="majorHAnsi" w:cs="Calibri"/>
        </w:rPr>
        <w:t>will</w:t>
      </w:r>
      <w:r w:rsidR="007E2139" w:rsidRPr="007E2139">
        <w:rPr>
          <w:rFonts w:asciiTheme="majorHAnsi" w:hAnsiTheme="majorHAnsi" w:cs="Calibri"/>
        </w:rPr>
        <w:t xml:space="preserve"> </w:t>
      </w:r>
      <w:r w:rsidR="006577B0" w:rsidRPr="007E2139">
        <w:rPr>
          <w:rFonts w:asciiTheme="majorHAnsi" w:hAnsiTheme="majorHAnsi" w:cs="Calibri"/>
        </w:rPr>
        <w:t xml:space="preserve">determine the </w:t>
      </w:r>
      <w:r w:rsidR="00CA57D3" w:rsidRPr="007E2139">
        <w:rPr>
          <w:rFonts w:asciiTheme="majorHAnsi" w:hAnsiTheme="majorHAnsi" w:cs="Calibri"/>
        </w:rPr>
        <w:t>most appropriate methodology for the monitoring plan, given the available resources and context.</w:t>
      </w:r>
      <w:r w:rsidR="00AD022D" w:rsidRPr="007E2139">
        <w:rPr>
          <w:rFonts w:asciiTheme="majorHAnsi" w:hAnsiTheme="majorHAnsi" w:cs="Calibri"/>
        </w:rPr>
        <w:t xml:space="preserve">  A monitoring plan options assessment has been completed for the program and is available to the consultant as a resource</w:t>
      </w:r>
      <w:r w:rsidR="000C20EB">
        <w:rPr>
          <w:rFonts w:asciiTheme="majorHAnsi" w:hAnsiTheme="majorHAnsi" w:cs="Calibri"/>
        </w:rPr>
        <w:t>.</w:t>
      </w:r>
      <w:r w:rsidR="00F0380E">
        <w:rPr>
          <w:rFonts w:asciiTheme="majorHAnsi" w:hAnsiTheme="majorHAnsi" w:cs="Calibri"/>
        </w:rPr>
        <w:t xml:space="preserve"> </w:t>
      </w:r>
      <w:r w:rsidR="007E2139">
        <w:rPr>
          <w:rFonts w:asciiTheme="majorHAnsi" w:hAnsiTheme="majorHAnsi" w:cs="Calibri"/>
        </w:rPr>
        <w:t>T</w:t>
      </w:r>
      <w:r w:rsidR="007E2139" w:rsidRPr="00AA0B37">
        <w:rPr>
          <w:rFonts w:asciiTheme="majorHAnsi" w:hAnsiTheme="majorHAnsi" w:cs="Calibri"/>
        </w:rPr>
        <w:t xml:space="preserve">he consultant hired under this TOR will have access to </w:t>
      </w:r>
      <w:r w:rsidR="000C20EB">
        <w:rPr>
          <w:rFonts w:asciiTheme="majorHAnsi" w:hAnsiTheme="majorHAnsi" w:cs="Calibri"/>
        </w:rPr>
        <w:t xml:space="preserve">TNC staff </w:t>
      </w:r>
      <w:r w:rsidR="007E2139" w:rsidRPr="00AA0B37">
        <w:rPr>
          <w:rFonts w:asciiTheme="majorHAnsi" w:hAnsiTheme="majorHAnsi" w:cs="Calibri"/>
        </w:rPr>
        <w:t xml:space="preserve">throughout the consultancy to provide relevant information, aid in logistics and review work for appropriateness and </w:t>
      </w:r>
      <w:r w:rsidR="007E2139">
        <w:rPr>
          <w:rFonts w:asciiTheme="majorHAnsi" w:hAnsiTheme="majorHAnsi" w:cs="Calibri"/>
        </w:rPr>
        <w:t>accuracy.</w:t>
      </w:r>
    </w:p>
    <w:p w:rsidR="003A6C88" w:rsidRPr="00AA0B37" w:rsidRDefault="00750723" w:rsidP="003A6C88">
      <w:pPr>
        <w:pStyle w:val="Heading1"/>
        <w:rPr>
          <w:rFonts w:cs="Times"/>
        </w:rPr>
      </w:pPr>
      <w:r w:rsidRPr="00AA0B37">
        <w:t>Purpose</w:t>
      </w:r>
    </w:p>
    <w:p w:rsidR="006D1D8C" w:rsidRDefault="005B73D8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A0B37">
        <w:rPr>
          <w:rFonts w:asciiTheme="majorHAnsi" w:hAnsiTheme="majorHAnsi" w:cs="Calibri"/>
        </w:rPr>
        <w:t xml:space="preserve">The </w:t>
      </w:r>
      <w:r w:rsidR="00712F95" w:rsidRPr="00AA0B37">
        <w:rPr>
          <w:rFonts w:asciiTheme="majorHAnsi" w:hAnsiTheme="majorHAnsi" w:cs="Calibri"/>
        </w:rPr>
        <w:t xml:space="preserve">overall </w:t>
      </w:r>
      <w:r w:rsidR="00750723" w:rsidRPr="00AA0B37">
        <w:rPr>
          <w:rFonts w:asciiTheme="majorHAnsi" w:hAnsiTheme="majorHAnsi" w:cs="Calibri"/>
        </w:rPr>
        <w:t>purpose</w:t>
      </w:r>
      <w:r w:rsidR="009B6109" w:rsidRPr="00AA0B37">
        <w:rPr>
          <w:rFonts w:asciiTheme="majorHAnsi" w:hAnsiTheme="majorHAnsi" w:cs="Calibri"/>
        </w:rPr>
        <w:t xml:space="preserve"> of this consultancy</w:t>
      </w:r>
      <w:r w:rsidR="003A6C88" w:rsidRPr="00AA0B37">
        <w:rPr>
          <w:rFonts w:asciiTheme="majorHAnsi" w:hAnsiTheme="majorHAnsi" w:cs="Calibri"/>
        </w:rPr>
        <w:t xml:space="preserve"> </w:t>
      </w:r>
      <w:r w:rsidR="00712F95" w:rsidRPr="00AA0B37">
        <w:rPr>
          <w:rFonts w:asciiTheme="majorHAnsi" w:hAnsiTheme="majorHAnsi" w:cs="Calibri"/>
        </w:rPr>
        <w:t>is</w:t>
      </w:r>
      <w:r w:rsidR="00FF498A">
        <w:rPr>
          <w:rFonts w:asciiTheme="majorHAnsi" w:hAnsiTheme="majorHAnsi" w:cs="Calibri"/>
        </w:rPr>
        <w:t>:</w:t>
      </w:r>
      <w:r w:rsidR="00712F95" w:rsidRPr="00AA0B37">
        <w:rPr>
          <w:rFonts w:asciiTheme="majorHAnsi" w:hAnsiTheme="majorHAnsi" w:cs="Calibri"/>
        </w:rPr>
        <w:t xml:space="preserve"> </w:t>
      </w:r>
    </w:p>
    <w:p w:rsidR="00C75217" w:rsidRPr="00C75217" w:rsidRDefault="000C20EB" w:rsidP="00C752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T</w:t>
      </w:r>
      <w:r w:rsidR="007E2139" w:rsidRPr="00CD7901">
        <w:rPr>
          <w:rFonts w:asciiTheme="majorHAnsi" w:hAnsiTheme="majorHAnsi" w:cs="Calibri"/>
        </w:rPr>
        <w:t xml:space="preserve">o complete </w:t>
      </w:r>
      <w:r w:rsidR="007E2139">
        <w:rPr>
          <w:rFonts w:asciiTheme="majorHAnsi" w:hAnsiTheme="majorHAnsi" w:cs="Calibri"/>
        </w:rPr>
        <w:t xml:space="preserve">a </w:t>
      </w:r>
      <w:r w:rsidR="007E2139" w:rsidRPr="00CD7901">
        <w:rPr>
          <w:rFonts w:asciiTheme="majorHAnsi" w:hAnsiTheme="majorHAnsi" w:cs="Calibri"/>
        </w:rPr>
        <w:t xml:space="preserve">baseline assessment </w:t>
      </w:r>
      <w:r>
        <w:rPr>
          <w:rFonts w:asciiTheme="majorHAnsi" w:hAnsiTheme="majorHAnsi" w:cs="Calibri"/>
        </w:rPr>
        <w:t xml:space="preserve">of human well-being indicators </w:t>
      </w:r>
      <w:r w:rsidR="007E2139" w:rsidRPr="00CD7901">
        <w:rPr>
          <w:rFonts w:asciiTheme="majorHAnsi" w:hAnsiTheme="majorHAnsi" w:cs="Calibri"/>
        </w:rPr>
        <w:t xml:space="preserve">for the smallholder and </w:t>
      </w:r>
      <w:proofErr w:type="spellStart"/>
      <w:r w:rsidR="007E2139" w:rsidRPr="00CD7901">
        <w:rPr>
          <w:rFonts w:asciiTheme="majorHAnsi" w:hAnsiTheme="majorHAnsi" w:cs="Calibri"/>
        </w:rPr>
        <w:t>largeholder</w:t>
      </w:r>
      <w:proofErr w:type="spellEnd"/>
      <w:r w:rsidR="007E2139" w:rsidRPr="00CD7901">
        <w:rPr>
          <w:rFonts w:asciiTheme="majorHAnsi" w:hAnsiTheme="majorHAnsi" w:cs="Calibri"/>
        </w:rPr>
        <w:t xml:space="preserve"> stakeholder groups</w:t>
      </w:r>
      <w:r>
        <w:rPr>
          <w:rFonts w:asciiTheme="majorHAnsi" w:hAnsiTheme="majorHAnsi" w:cs="Calibri"/>
        </w:rPr>
        <w:t xml:space="preserve"> </w:t>
      </w:r>
      <w:r w:rsidRPr="006C4404">
        <w:rPr>
          <w:rFonts w:asciiTheme="majorHAnsi" w:hAnsiTheme="majorHAnsi" w:cs="Calibri"/>
        </w:rPr>
        <w:t xml:space="preserve">of the São Félix do Xingu Green Development Program </w:t>
      </w:r>
      <w:r>
        <w:rPr>
          <w:rFonts w:asciiTheme="majorHAnsi" w:hAnsiTheme="majorHAnsi" w:cs="Calibri"/>
        </w:rPr>
        <w:t>-</w:t>
      </w:r>
      <w:r w:rsidR="007E2139">
        <w:rPr>
          <w:rFonts w:asciiTheme="majorHAnsi" w:hAnsiTheme="majorHAnsi" w:cs="Calibri"/>
        </w:rPr>
        <w:t xml:space="preserve"> </w:t>
      </w:r>
      <w:r w:rsidR="00B141E0">
        <w:rPr>
          <w:rFonts w:asciiTheme="majorHAnsi" w:hAnsiTheme="majorHAnsi" w:cs="Calibri"/>
        </w:rPr>
        <w:t>including</w:t>
      </w:r>
      <w:r w:rsidR="007E2139">
        <w:rPr>
          <w:rFonts w:asciiTheme="majorHAnsi" w:hAnsiTheme="majorHAnsi" w:cs="Calibri"/>
        </w:rPr>
        <w:t xml:space="preserve"> </w:t>
      </w:r>
      <w:r w:rsidR="007E2139" w:rsidRPr="00CD7901">
        <w:rPr>
          <w:rFonts w:asciiTheme="majorHAnsi" w:hAnsiTheme="majorHAnsi" w:cs="Calibri"/>
        </w:rPr>
        <w:t>collect</w:t>
      </w:r>
      <w:r w:rsidR="00B141E0">
        <w:rPr>
          <w:rFonts w:asciiTheme="majorHAnsi" w:hAnsiTheme="majorHAnsi" w:cs="Calibri"/>
        </w:rPr>
        <w:t>ing, cleaning and analyzing</w:t>
      </w:r>
      <w:r w:rsidR="007E2139" w:rsidRPr="00CD7901">
        <w:rPr>
          <w:rFonts w:asciiTheme="majorHAnsi" w:hAnsiTheme="majorHAnsi" w:cs="Calibri"/>
        </w:rPr>
        <w:t xml:space="preserve"> primary and secondary data </w:t>
      </w:r>
      <w:r>
        <w:rPr>
          <w:rFonts w:asciiTheme="majorHAnsi" w:hAnsiTheme="majorHAnsi" w:cs="Calibri"/>
        </w:rPr>
        <w:t>as needed.</w:t>
      </w:r>
    </w:p>
    <w:p w:rsidR="000E6E10" w:rsidRPr="006C4404" w:rsidRDefault="000C20EB" w:rsidP="006C44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T</w:t>
      </w:r>
      <w:r w:rsidR="003A6C88" w:rsidRPr="006C4404">
        <w:rPr>
          <w:rFonts w:asciiTheme="majorHAnsi" w:hAnsiTheme="majorHAnsi" w:cs="Calibri"/>
        </w:rPr>
        <w:t xml:space="preserve">o </w:t>
      </w:r>
      <w:r w:rsidR="005F3D3A" w:rsidRPr="006C4404">
        <w:rPr>
          <w:rFonts w:asciiTheme="majorHAnsi" w:hAnsiTheme="majorHAnsi" w:cs="Calibri"/>
        </w:rPr>
        <w:t>design</w:t>
      </w:r>
      <w:r w:rsidR="003A6C88" w:rsidRPr="006C4404">
        <w:rPr>
          <w:rFonts w:asciiTheme="majorHAnsi" w:hAnsiTheme="majorHAnsi" w:cs="Calibri"/>
        </w:rPr>
        <w:t xml:space="preserve"> </w:t>
      </w:r>
      <w:r w:rsidR="005B73D8" w:rsidRPr="006C4404">
        <w:rPr>
          <w:rFonts w:asciiTheme="majorHAnsi" w:hAnsiTheme="majorHAnsi" w:cs="Calibri"/>
        </w:rPr>
        <w:t>a</w:t>
      </w:r>
      <w:r w:rsidR="003A6C88" w:rsidRPr="006C4404">
        <w:rPr>
          <w:rFonts w:asciiTheme="majorHAnsi" w:hAnsiTheme="majorHAnsi" w:cs="Calibri"/>
        </w:rPr>
        <w:t xml:space="preserve"> socioeconomic </w:t>
      </w:r>
      <w:r w:rsidR="00CA57D3" w:rsidRPr="006C4404">
        <w:rPr>
          <w:rFonts w:asciiTheme="majorHAnsi" w:hAnsiTheme="majorHAnsi" w:cs="Calibri"/>
        </w:rPr>
        <w:t xml:space="preserve">monitoring </w:t>
      </w:r>
      <w:proofErr w:type="gramStart"/>
      <w:r w:rsidR="00CA57D3" w:rsidRPr="006C4404">
        <w:rPr>
          <w:rFonts w:asciiTheme="majorHAnsi" w:hAnsiTheme="majorHAnsi" w:cs="Calibri"/>
        </w:rPr>
        <w:t>plan</w:t>
      </w:r>
      <w:proofErr w:type="gramEnd"/>
      <w:r w:rsidR="00750723" w:rsidRPr="006C4404">
        <w:rPr>
          <w:rFonts w:asciiTheme="majorHAnsi" w:hAnsiTheme="majorHAnsi" w:cs="Calibri"/>
        </w:rPr>
        <w:t xml:space="preserve"> for</w:t>
      </w:r>
      <w:r w:rsidR="006D1D8C" w:rsidRPr="006C4404">
        <w:rPr>
          <w:rFonts w:asciiTheme="majorHAnsi" w:hAnsiTheme="majorHAnsi" w:cs="Calibri"/>
        </w:rPr>
        <w:t xml:space="preserve"> the smallholder and </w:t>
      </w:r>
      <w:proofErr w:type="spellStart"/>
      <w:r w:rsidR="006D1D8C" w:rsidRPr="006C4404">
        <w:rPr>
          <w:rFonts w:asciiTheme="majorHAnsi" w:hAnsiTheme="majorHAnsi" w:cs="Calibri"/>
        </w:rPr>
        <w:t>largeholder</w:t>
      </w:r>
      <w:proofErr w:type="spellEnd"/>
      <w:r w:rsidR="006D1D8C" w:rsidRPr="006C4404">
        <w:rPr>
          <w:rFonts w:asciiTheme="majorHAnsi" w:hAnsiTheme="majorHAnsi" w:cs="Calibri"/>
        </w:rPr>
        <w:t xml:space="preserve"> strategies </w:t>
      </w:r>
      <w:r>
        <w:rPr>
          <w:rFonts w:asciiTheme="majorHAnsi" w:hAnsiTheme="majorHAnsi" w:cs="Calibri"/>
        </w:rPr>
        <w:t>to track changes in human well-being over time</w:t>
      </w:r>
      <w:r w:rsidR="00C75217">
        <w:rPr>
          <w:rFonts w:asciiTheme="majorHAnsi" w:hAnsiTheme="majorHAnsi" w:cs="Calibri"/>
        </w:rPr>
        <w:t>.</w:t>
      </w:r>
      <w:r w:rsidR="00C75217" w:rsidRPr="006C4404">
        <w:rPr>
          <w:rFonts w:asciiTheme="majorHAnsi" w:hAnsiTheme="majorHAnsi" w:cs="Calibri"/>
        </w:rPr>
        <w:t xml:space="preserve"> </w:t>
      </w:r>
    </w:p>
    <w:p w:rsidR="000E6E10" w:rsidRPr="00AA0B37" w:rsidRDefault="00D43EFF" w:rsidP="000E6E10">
      <w:pPr>
        <w:pStyle w:val="Heading1"/>
        <w:rPr>
          <w:rFonts w:cs="Times"/>
        </w:rPr>
      </w:pPr>
      <w:r>
        <w:t>Scope of Work</w:t>
      </w:r>
    </w:p>
    <w:p w:rsidR="003A6C88" w:rsidRPr="00AA0B37" w:rsidRDefault="003A6C88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0B37">
        <w:rPr>
          <w:rFonts w:asciiTheme="majorHAnsi" w:hAnsiTheme="majorHAnsi" w:cs="Calibri"/>
        </w:rPr>
        <w:t xml:space="preserve">The specific </w:t>
      </w:r>
      <w:r w:rsidR="00D43EFF">
        <w:rPr>
          <w:rFonts w:asciiTheme="majorHAnsi" w:hAnsiTheme="majorHAnsi" w:cs="Calibri"/>
        </w:rPr>
        <w:t>scope of work</w:t>
      </w:r>
      <w:r w:rsidRPr="00AA0B37">
        <w:rPr>
          <w:rFonts w:asciiTheme="majorHAnsi" w:hAnsiTheme="majorHAnsi" w:cs="Calibri"/>
        </w:rPr>
        <w:t xml:space="preserve"> </w:t>
      </w:r>
      <w:r w:rsidR="00D43EFF">
        <w:rPr>
          <w:rFonts w:asciiTheme="majorHAnsi" w:hAnsiTheme="majorHAnsi" w:cs="Calibri"/>
        </w:rPr>
        <w:t>for</w:t>
      </w:r>
      <w:r w:rsidRPr="00AA0B37">
        <w:rPr>
          <w:rFonts w:asciiTheme="majorHAnsi" w:hAnsiTheme="majorHAnsi" w:cs="Calibri"/>
        </w:rPr>
        <w:t xml:space="preserve"> the consultancy </w:t>
      </w:r>
      <w:r w:rsidR="009B6109" w:rsidRPr="00AA0B37">
        <w:rPr>
          <w:rFonts w:asciiTheme="majorHAnsi" w:hAnsiTheme="majorHAnsi" w:cs="Calibri"/>
        </w:rPr>
        <w:t>include</w:t>
      </w:r>
      <w:r w:rsidR="00D43EFF">
        <w:rPr>
          <w:rFonts w:asciiTheme="majorHAnsi" w:hAnsiTheme="majorHAnsi" w:cs="Calibri"/>
        </w:rPr>
        <w:t>s</w:t>
      </w:r>
      <w:r w:rsidRPr="00AA0B37">
        <w:rPr>
          <w:rFonts w:asciiTheme="majorHAnsi" w:hAnsiTheme="majorHAnsi" w:cs="Calibri"/>
        </w:rPr>
        <w:t xml:space="preserve">: </w:t>
      </w:r>
    </w:p>
    <w:p w:rsidR="00AB11FD" w:rsidRDefault="000E6E10" w:rsidP="00AB1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B11FD">
        <w:rPr>
          <w:rFonts w:asciiTheme="majorHAnsi" w:hAnsiTheme="majorHAnsi" w:cs="Calibri"/>
        </w:rPr>
        <w:t xml:space="preserve">Access and review all available information concerning </w:t>
      </w:r>
      <w:r w:rsidR="00F8555B" w:rsidRPr="00AB11FD">
        <w:rPr>
          <w:rFonts w:asciiTheme="majorHAnsi" w:hAnsiTheme="majorHAnsi" w:cs="Calibri"/>
        </w:rPr>
        <w:t>the</w:t>
      </w:r>
      <w:r w:rsidR="003A6C88" w:rsidRPr="00CD41AF">
        <w:rPr>
          <w:rFonts w:asciiTheme="majorHAnsi" w:hAnsiTheme="majorHAnsi" w:cs="Calibri"/>
        </w:rPr>
        <w:t xml:space="preserve"> political, social, environmental and economic </w:t>
      </w:r>
      <w:r w:rsidR="00F8555B" w:rsidRPr="00CD41AF">
        <w:rPr>
          <w:rFonts w:asciiTheme="majorHAnsi" w:hAnsiTheme="majorHAnsi" w:cs="Calibri"/>
        </w:rPr>
        <w:t>context</w:t>
      </w:r>
      <w:r w:rsidR="003A6C88" w:rsidRPr="00CD41AF">
        <w:rPr>
          <w:rFonts w:asciiTheme="majorHAnsi" w:hAnsiTheme="majorHAnsi" w:cs="Calibri"/>
        </w:rPr>
        <w:t xml:space="preserve"> of Sao Felix do Xingu</w:t>
      </w:r>
      <w:r w:rsidR="009B6109" w:rsidRPr="00CD41AF">
        <w:rPr>
          <w:rFonts w:asciiTheme="majorHAnsi" w:hAnsiTheme="majorHAnsi" w:cs="Calibri"/>
        </w:rPr>
        <w:t xml:space="preserve"> through </w:t>
      </w:r>
      <w:r w:rsidRPr="00CD41AF">
        <w:rPr>
          <w:rFonts w:asciiTheme="majorHAnsi" w:hAnsiTheme="majorHAnsi" w:cs="Calibri"/>
        </w:rPr>
        <w:t xml:space="preserve">discussions with SFX staff </w:t>
      </w:r>
      <w:r w:rsidR="00CD41AF">
        <w:rPr>
          <w:rFonts w:asciiTheme="majorHAnsi" w:hAnsiTheme="majorHAnsi" w:cs="Calibri"/>
        </w:rPr>
        <w:t xml:space="preserve">and partners, </w:t>
      </w:r>
      <w:r w:rsidRPr="00CD41AF">
        <w:rPr>
          <w:rFonts w:asciiTheme="majorHAnsi" w:hAnsiTheme="majorHAnsi" w:cs="Calibri"/>
        </w:rPr>
        <w:t xml:space="preserve">and </w:t>
      </w:r>
      <w:r w:rsidR="009B6109" w:rsidRPr="00CD41AF">
        <w:rPr>
          <w:rFonts w:asciiTheme="majorHAnsi" w:hAnsiTheme="majorHAnsi" w:cs="Calibri"/>
        </w:rPr>
        <w:t xml:space="preserve">existing written information </w:t>
      </w:r>
      <w:r w:rsidRPr="00CD41AF">
        <w:rPr>
          <w:rFonts w:asciiTheme="majorHAnsi" w:hAnsiTheme="majorHAnsi" w:cs="Calibri"/>
        </w:rPr>
        <w:t xml:space="preserve">made available by TNC </w:t>
      </w:r>
      <w:r w:rsidR="00C75217" w:rsidRPr="00CD41AF">
        <w:rPr>
          <w:rFonts w:asciiTheme="majorHAnsi" w:hAnsiTheme="majorHAnsi" w:cs="Calibri"/>
        </w:rPr>
        <w:t xml:space="preserve">or </w:t>
      </w:r>
      <w:r w:rsidRPr="00CD41AF">
        <w:rPr>
          <w:rFonts w:asciiTheme="majorHAnsi" w:hAnsiTheme="majorHAnsi" w:cs="Calibri"/>
        </w:rPr>
        <w:t>accessed independently</w:t>
      </w:r>
      <w:r w:rsidR="00AB11FD" w:rsidRPr="00CD41AF">
        <w:rPr>
          <w:rFonts w:asciiTheme="majorHAnsi" w:hAnsiTheme="majorHAnsi" w:cs="Calibri"/>
        </w:rPr>
        <w:t xml:space="preserve">.  Additionally, </w:t>
      </w:r>
      <w:r w:rsidR="00AB11FD">
        <w:rPr>
          <w:rFonts w:asciiTheme="majorHAnsi" w:hAnsiTheme="majorHAnsi" w:cs="Calibri"/>
        </w:rPr>
        <w:t>r</w:t>
      </w:r>
      <w:r w:rsidR="009B6109" w:rsidRPr="00AB11FD">
        <w:rPr>
          <w:rFonts w:asciiTheme="majorHAnsi" w:hAnsiTheme="majorHAnsi" w:cs="Calibri"/>
        </w:rPr>
        <w:t xml:space="preserve">eview previously </w:t>
      </w:r>
      <w:r w:rsidR="000C20EB">
        <w:rPr>
          <w:rFonts w:asciiTheme="majorHAnsi" w:hAnsiTheme="majorHAnsi" w:cs="Calibri"/>
        </w:rPr>
        <w:t>developed</w:t>
      </w:r>
      <w:r w:rsidR="009B6109" w:rsidRPr="00AB11FD">
        <w:rPr>
          <w:rFonts w:asciiTheme="majorHAnsi" w:hAnsiTheme="majorHAnsi" w:cs="Calibri"/>
        </w:rPr>
        <w:t xml:space="preserve"> SFX program socioeconomic outcomes, objectives and indicators</w:t>
      </w:r>
      <w:r w:rsidR="00AB11FD">
        <w:rPr>
          <w:rFonts w:asciiTheme="majorHAnsi" w:hAnsiTheme="majorHAnsi" w:cs="Calibri"/>
        </w:rPr>
        <w:t xml:space="preserve">, </w:t>
      </w:r>
      <w:r w:rsidR="0099026C" w:rsidRPr="00CD41AF">
        <w:rPr>
          <w:rFonts w:asciiTheme="majorHAnsi" w:hAnsiTheme="majorHAnsi" w:cs="Calibri"/>
        </w:rPr>
        <w:t xml:space="preserve">as well as </w:t>
      </w:r>
      <w:r w:rsidR="0016174A">
        <w:rPr>
          <w:rFonts w:asciiTheme="majorHAnsi" w:hAnsiTheme="majorHAnsi" w:cs="Calibri"/>
        </w:rPr>
        <w:t xml:space="preserve">the </w:t>
      </w:r>
      <w:r w:rsidR="000C20EB">
        <w:rPr>
          <w:rFonts w:asciiTheme="majorHAnsi" w:hAnsiTheme="majorHAnsi" w:cs="Calibri"/>
        </w:rPr>
        <w:t xml:space="preserve">previously compiled </w:t>
      </w:r>
      <w:r w:rsidR="0099026C" w:rsidRPr="00CD41AF">
        <w:rPr>
          <w:rFonts w:asciiTheme="majorHAnsi" w:hAnsiTheme="majorHAnsi" w:cs="Calibri"/>
        </w:rPr>
        <w:t>database of available secondary data and data gap assessment</w:t>
      </w:r>
      <w:r w:rsidR="00AB11FD">
        <w:rPr>
          <w:rFonts w:asciiTheme="majorHAnsi" w:hAnsiTheme="majorHAnsi" w:cs="Calibri"/>
        </w:rPr>
        <w:t>.</w:t>
      </w:r>
    </w:p>
    <w:p w:rsidR="00AB11FD" w:rsidRDefault="0016174A" w:rsidP="00AB1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Clean and a</w:t>
      </w:r>
      <w:r w:rsidR="00AB11FD" w:rsidRPr="00AB11FD">
        <w:rPr>
          <w:rFonts w:asciiTheme="majorHAnsi" w:hAnsiTheme="majorHAnsi" w:cs="Calibri"/>
        </w:rPr>
        <w:t xml:space="preserve">nalyze secondary </w:t>
      </w:r>
      <w:r w:rsidR="00383595">
        <w:rPr>
          <w:rFonts w:asciiTheme="majorHAnsi" w:hAnsiTheme="majorHAnsi" w:cs="Calibri"/>
        </w:rPr>
        <w:t xml:space="preserve">socioeconomic </w:t>
      </w:r>
      <w:r w:rsidR="00AB11FD" w:rsidRPr="00AB11FD">
        <w:rPr>
          <w:rFonts w:asciiTheme="majorHAnsi" w:hAnsiTheme="majorHAnsi" w:cs="Calibri"/>
        </w:rPr>
        <w:t>data that has already been collected using statistical tools</w:t>
      </w:r>
      <w:r>
        <w:rPr>
          <w:rFonts w:asciiTheme="majorHAnsi" w:hAnsiTheme="majorHAnsi" w:cs="Calibri"/>
        </w:rPr>
        <w:t xml:space="preserve"> (</w:t>
      </w:r>
      <w:r w:rsidRPr="00AA0B37">
        <w:rPr>
          <w:rFonts w:asciiTheme="majorHAnsi" w:hAnsiTheme="majorHAnsi" w:cs="Wingdings"/>
        </w:rPr>
        <w:t>Excel, SPSS or Stata</w:t>
      </w:r>
      <w:r>
        <w:rPr>
          <w:rFonts w:asciiTheme="majorHAnsi" w:hAnsiTheme="majorHAnsi" w:cs="Wingdings"/>
        </w:rPr>
        <w:t>)</w:t>
      </w:r>
      <w:r w:rsidR="00AB11FD" w:rsidRPr="00AB11FD">
        <w:rPr>
          <w:rFonts w:asciiTheme="majorHAnsi" w:hAnsiTheme="majorHAnsi" w:cs="Calibri"/>
        </w:rPr>
        <w:t xml:space="preserve">, to determine the baseline state for </w:t>
      </w:r>
      <w:r w:rsidR="00AB11FD">
        <w:rPr>
          <w:rFonts w:asciiTheme="majorHAnsi" w:hAnsiTheme="majorHAnsi" w:cs="Calibri"/>
        </w:rPr>
        <w:t>the associated</w:t>
      </w:r>
      <w:r w:rsidR="00AB11FD" w:rsidRPr="00AB11FD">
        <w:rPr>
          <w:rFonts w:asciiTheme="majorHAnsi" w:hAnsiTheme="majorHAnsi" w:cs="Calibri"/>
        </w:rPr>
        <w:t xml:space="preserve"> indicators.  </w:t>
      </w:r>
    </w:p>
    <w:p w:rsidR="005C32F9" w:rsidRDefault="000C20EB" w:rsidP="00CD41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Assess</w:t>
      </w:r>
      <w:r w:rsidR="00AB11FD">
        <w:rPr>
          <w:rFonts w:asciiTheme="majorHAnsi" w:hAnsiTheme="majorHAnsi" w:cs="Calibri"/>
        </w:rPr>
        <w:t xml:space="preserve"> options for collection of missing </w:t>
      </w:r>
      <w:r w:rsidR="00383595">
        <w:rPr>
          <w:rFonts w:asciiTheme="majorHAnsi" w:hAnsiTheme="majorHAnsi" w:cs="Calibri"/>
        </w:rPr>
        <w:t xml:space="preserve">socioeconomic </w:t>
      </w:r>
      <w:r w:rsidR="00AB11FD">
        <w:rPr>
          <w:rFonts w:asciiTheme="majorHAnsi" w:hAnsiTheme="majorHAnsi" w:cs="Calibri"/>
        </w:rPr>
        <w:t xml:space="preserve">data </w:t>
      </w:r>
      <w:r w:rsidR="003F6DD5">
        <w:rPr>
          <w:rFonts w:asciiTheme="majorHAnsi" w:hAnsiTheme="majorHAnsi" w:cs="Calibri"/>
        </w:rPr>
        <w:t xml:space="preserve">(this could include use of questionnaires, focus groups, etc.) </w:t>
      </w:r>
      <w:r w:rsidR="0099026C" w:rsidRPr="00CD41AF">
        <w:rPr>
          <w:rFonts w:asciiTheme="majorHAnsi" w:hAnsiTheme="majorHAnsi" w:cs="Calibri"/>
        </w:rPr>
        <w:t xml:space="preserve">and </w:t>
      </w:r>
      <w:r w:rsidR="0016174A">
        <w:rPr>
          <w:rFonts w:asciiTheme="majorHAnsi" w:hAnsiTheme="majorHAnsi" w:cs="Calibri"/>
        </w:rPr>
        <w:t xml:space="preserve">if necessary, </w:t>
      </w:r>
      <w:r w:rsidR="00E45CC9" w:rsidRPr="00CD41AF">
        <w:rPr>
          <w:rFonts w:asciiTheme="majorHAnsi" w:hAnsiTheme="majorHAnsi" w:cs="Calibri"/>
        </w:rPr>
        <w:t xml:space="preserve">make adjustments to </w:t>
      </w:r>
      <w:r w:rsidR="00AB11FD">
        <w:rPr>
          <w:rFonts w:asciiTheme="majorHAnsi" w:hAnsiTheme="majorHAnsi" w:cs="Calibri"/>
        </w:rPr>
        <w:t xml:space="preserve">associated </w:t>
      </w:r>
      <w:r w:rsidR="009005C1" w:rsidRPr="00CD41AF">
        <w:rPr>
          <w:rFonts w:asciiTheme="majorHAnsi" w:hAnsiTheme="majorHAnsi" w:cs="Calibri"/>
        </w:rPr>
        <w:t>indicators</w:t>
      </w:r>
      <w:r w:rsidR="00E45CC9" w:rsidRPr="00CD41AF">
        <w:rPr>
          <w:rFonts w:asciiTheme="majorHAnsi" w:hAnsiTheme="majorHAnsi" w:cs="Calibri"/>
        </w:rPr>
        <w:t xml:space="preserve"> </w:t>
      </w:r>
      <w:r w:rsidR="009005C1" w:rsidRPr="00CD41AF">
        <w:rPr>
          <w:rFonts w:asciiTheme="majorHAnsi" w:hAnsiTheme="majorHAnsi" w:cs="Calibri"/>
        </w:rPr>
        <w:t xml:space="preserve">in collaboration with </w:t>
      </w:r>
      <w:r w:rsidR="003F6DD5">
        <w:rPr>
          <w:rFonts w:asciiTheme="majorHAnsi" w:hAnsiTheme="majorHAnsi" w:cs="Calibri"/>
        </w:rPr>
        <w:t xml:space="preserve">TNC </w:t>
      </w:r>
      <w:r w:rsidR="00AB11FD">
        <w:rPr>
          <w:rFonts w:asciiTheme="majorHAnsi" w:hAnsiTheme="majorHAnsi" w:cs="Calibri"/>
        </w:rPr>
        <w:t xml:space="preserve">and </w:t>
      </w:r>
      <w:r w:rsidR="009005C1" w:rsidRPr="00CD41AF">
        <w:rPr>
          <w:rFonts w:asciiTheme="majorHAnsi" w:hAnsiTheme="majorHAnsi" w:cs="Calibri"/>
        </w:rPr>
        <w:t xml:space="preserve">taking into consideration </w:t>
      </w:r>
      <w:r w:rsidR="00383595" w:rsidRPr="00F823E3">
        <w:rPr>
          <w:rFonts w:asciiTheme="majorHAnsi" w:hAnsiTheme="majorHAnsi" w:cs="Calibri"/>
        </w:rPr>
        <w:t xml:space="preserve">relevance </w:t>
      </w:r>
      <w:r w:rsidR="00383595">
        <w:rPr>
          <w:rFonts w:asciiTheme="majorHAnsi" w:hAnsiTheme="majorHAnsi" w:cs="Calibri"/>
        </w:rPr>
        <w:t xml:space="preserve">of the indicator </w:t>
      </w:r>
      <w:r w:rsidR="00383595" w:rsidRPr="00F823E3">
        <w:rPr>
          <w:rFonts w:asciiTheme="majorHAnsi" w:hAnsiTheme="majorHAnsi" w:cs="Calibri"/>
        </w:rPr>
        <w:t>to</w:t>
      </w:r>
      <w:r w:rsidR="00383595">
        <w:rPr>
          <w:rFonts w:asciiTheme="majorHAnsi" w:hAnsiTheme="majorHAnsi" w:cs="Calibri"/>
        </w:rPr>
        <w:t xml:space="preserve"> the </w:t>
      </w:r>
      <w:r w:rsidR="00383595" w:rsidRPr="00F823E3">
        <w:rPr>
          <w:rFonts w:asciiTheme="majorHAnsi" w:hAnsiTheme="majorHAnsi" w:cs="Calibri"/>
        </w:rPr>
        <w:t>project’s Theory of Change</w:t>
      </w:r>
      <w:r w:rsidR="00383595" w:rsidRPr="00CD41AF" w:rsidDel="00AB11FD">
        <w:rPr>
          <w:rFonts w:asciiTheme="majorHAnsi" w:hAnsiTheme="majorHAnsi" w:cs="Calibri"/>
        </w:rPr>
        <w:t xml:space="preserve"> </w:t>
      </w:r>
      <w:r w:rsidR="00383595">
        <w:rPr>
          <w:rFonts w:asciiTheme="majorHAnsi" w:hAnsiTheme="majorHAnsi" w:cs="Calibri"/>
        </w:rPr>
        <w:t xml:space="preserve">and </w:t>
      </w:r>
      <w:r w:rsidR="00AB11FD">
        <w:rPr>
          <w:rFonts w:asciiTheme="majorHAnsi" w:hAnsiTheme="majorHAnsi" w:cs="Calibri"/>
        </w:rPr>
        <w:t>feasibility</w:t>
      </w:r>
      <w:r w:rsidR="00AB11FD" w:rsidRPr="00CD41AF">
        <w:rPr>
          <w:rFonts w:asciiTheme="majorHAnsi" w:hAnsiTheme="majorHAnsi" w:cs="Calibri"/>
        </w:rPr>
        <w:t xml:space="preserve"> </w:t>
      </w:r>
      <w:r w:rsidR="009005C1" w:rsidRPr="00CD41AF">
        <w:rPr>
          <w:rFonts w:asciiTheme="majorHAnsi" w:hAnsiTheme="majorHAnsi" w:cs="Calibri"/>
        </w:rPr>
        <w:t xml:space="preserve">of </w:t>
      </w:r>
      <w:r w:rsidR="0099026C" w:rsidRPr="00CD41AF">
        <w:rPr>
          <w:rFonts w:asciiTheme="majorHAnsi" w:hAnsiTheme="majorHAnsi" w:cs="Calibri"/>
        </w:rPr>
        <w:t xml:space="preserve">additional </w:t>
      </w:r>
      <w:r w:rsidR="009005C1" w:rsidRPr="00CD41AF">
        <w:rPr>
          <w:rFonts w:asciiTheme="majorHAnsi" w:hAnsiTheme="majorHAnsi" w:cs="Calibri"/>
        </w:rPr>
        <w:t>data collection</w:t>
      </w:r>
      <w:r w:rsidR="00383595">
        <w:rPr>
          <w:rFonts w:asciiTheme="majorHAnsi" w:hAnsiTheme="majorHAnsi" w:cs="Calibri"/>
        </w:rPr>
        <w:t xml:space="preserve">. </w:t>
      </w:r>
    </w:p>
    <w:p w:rsidR="009B6109" w:rsidRDefault="005C32F9" w:rsidP="00CD41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</w:t>
      </w:r>
      <w:r w:rsidRPr="00CD41AF">
        <w:rPr>
          <w:rFonts w:asciiTheme="majorHAnsi" w:hAnsiTheme="majorHAnsi" w:cs="Calibri"/>
        </w:rPr>
        <w:t xml:space="preserve">n collaboration with </w:t>
      </w:r>
      <w:r>
        <w:rPr>
          <w:rFonts w:asciiTheme="majorHAnsi" w:hAnsiTheme="majorHAnsi" w:cs="Calibri"/>
        </w:rPr>
        <w:t>TNC, and using appropriate statistics, define the reference and impact groups’ sample size.</w:t>
      </w:r>
    </w:p>
    <w:p w:rsidR="0016174A" w:rsidRPr="00CD41AF" w:rsidRDefault="00AB11FD" w:rsidP="00CD41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lastRenderedPageBreak/>
        <w:t xml:space="preserve">Prepare a plan to collect missing </w:t>
      </w:r>
      <w:r w:rsidR="002E4F44">
        <w:rPr>
          <w:rFonts w:asciiTheme="majorHAnsi" w:hAnsiTheme="majorHAnsi" w:cs="Calibri"/>
        </w:rPr>
        <w:t>socio</w:t>
      </w:r>
      <w:r w:rsidR="00383595">
        <w:rPr>
          <w:rFonts w:asciiTheme="majorHAnsi" w:hAnsiTheme="majorHAnsi" w:cs="Calibri"/>
        </w:rPr>
        <w:t xml:space="preserve">economic </w:t>
      </w:r>
      <w:r>
        <w:rPr>
          <w:rFonts w:asciiTheme="majorHAnsi" w:hAnsiTheme="majorHAnsi" w:cs="Calibri"/>
        </w:rPr>
        <w:t xml:space="preserve">data, </w:t>
      </w:r>
      <w:r w:rsidR="005F3D3A" w:rsidRPr="00795E86">
        <w:rPr>
          <w:rFonts w:asciiTheme="majorHAnsi" w:hAnsiTheme="majorHAnsi" w:cs="Calibri"/>
        </w:rPr>
        <w:t xml:space="preserve">with prior validation by TNC </w:t>
      </w:r>
      <w:r w:rsidR="00F73307" w:rsidRPr="00795E86">
        <w:rPr>
          <w:rFonts w:asciiTheme="majorHAnsi" w:hAnsiTheme="majorHAnsi" w:cs="Calibri"/>
        </w:rPr>
        <w:t xml:space="preserve">team </w:t>
      </w:r>
      <w:r w:rsidR="005F3D3A" w:rsidRPr="00795E86">
        <w:rPr>
          <w:rFonts w:asciiTheme="majorHAnsi" w:hAnsiTheme="majorHAnsi" w:cs="Calibri"/>
        </w:rPr>
        <w:t>and partners</w:t>
      </w:r>
      <w:r w:rsidR="00DF6424" w:rsidRPr="00795E86">
        <w:rPr>
          <w:rFonts w:asciiTheme="majorHAnsi" w:hAnsiTheme="majorHAnsi" w:cs="Calibri"/>
        </w:rPr>
        <w:t xml:space="preserve"> and in compliance with TNC SOP on human subject research</w:t>
      </w:r>
      <w:r w:rsidR="007A0C9A" w:rsidRPr="00795E86">
        <w:rPr>
          <w:rFonts w:asciiTheme="majorHAnsi" w:hAnsiTheme="majorHAnsi" w:cs="Calibri"/>
        </w:rPr>
        <w:t xml:space="preserve">. </w:t>
      </w:r>
      <w:r w:rsidR="00383595">
        <w:rPr>
          <w:rFonts w:asciiTheme="majorHAnsi" w:hAnsiTheme="majorHAnsi" w:cs="Calibri"/>
        </w:rPr>
        <w:t>If the strategy anticipates the use of questionnaire(s), the plan should include a copy of the questionnaire(s).</w:t>
      </w:r>
    </w:p>
    <w:p w:rsidR="00383595" w:rsidRDefault="00383595" w:rsidP="00CD41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>
        <w:rPr>
          <w:rFonts w:asciiTheme="majorHAnsi" w:hAnsiTheme="majorHAnsi" w:cs="Wingdings"/>
        </w:rPr>
        <w:t xml:space="preserve"> </w:t>
      </w:r>
      <w:r w:rsidR="00AB11FD" w:rsidRPr="00CD41AF">
        <w:rPr>
          <w:rFonts w:asciiTheme="majorHAnsi" w:hAnsiTheme="majorHAnsi" w:cs="Wingdings"/>
        </w:rPr>
        <w:t xml:space="preserve">Work with the local team and project partners to </w:t>
      </w:r>
      <w:r w:rsidR="00704F43" w:rsidRPr="00CD41AF">
        <w:rPr>
          <w:rFonts w:asciiTheme="majorHAnsi" w:hAnsiTheme="majorHAnsi" w:cs="Wingdings"/>
        </w:rPr>
        <w:t>collect missing data in the field</w:t>
      </w:r>
      <w:r>
        <w:rPr>
          <w:rFonts w:asciiTheme="majorHAnsi" w:hAnsiTheme="majorHAnsi" w:cs="Wingdings"/>
        </w:rPr>
        <w:t xml:space="preserve">.  </w:t>
      </w:r>
    </w:p>
    <w:p w:rsidR="00383595" w:rsidRPr="00CD41AF" w:rsidRDefault="00383595" w:rsidP="00CD41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 w:rsidRPr="009C37B0">
        <w:rPr>
          <w:rFonts w:asciiTheme="majorHAnsi" w:hAnsiTheme="majorHAnsi" w:cs="Wingdings"/>
        </w:rPr>
        <w:t xml:space="preserve">Clean and analyze the primary data using </w:t>
      </w:r>
      <w:r w:rsidRPr="009C37B0">
        <w:rPr>
          <w:rFonts w:asciiTheme="majorHAnsi" w:hAnsiTheme="majorHAnsi" w:cs="Calibri"/>
        </w:rPr>
        <w:t>statistical tools (</w:t>
      </w:r>
      <w:r w:rsidRPr="009C37B0">
        <w:rPr>
          <w:rFonts w:asciiTheme="majorHAnsi" w:hAnsiTheme="majorHAnsi" w:cs="Wingdings"/>
        </w:rPr>
        <w:t>Excel, SPSS or Stata),</w:t>
      </w:r>
      <w:r w:rsidRPr="009C37B0">
        <w:rPr>
          <w:rFonts w:asciiTheme="majorHAnsi" w:hAnsiTheme="majorHAnsi" w:cs="Calibri"/>
        </w:rPr>
        <w:t xml:space="preserve"> to determine the baseline state for the associated indicators.</w:t>
      </w:r>
    </w:p>
    <w:p w:rsidR="00383595" w:rsidRPr="00B141E0" w:rsidRDefault="00CD41AF" w:rsidP="00B141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 w:rsidRPr="009C37B0">
        <w:rPr>
          <w:rFonts w:asciiTheme="majorHAnsi" w:hAnsiTheme="majorHAnsi" w:cs="Wingdings"/>
        </w:rPr>
        <w:t xml:space="preserve">Write a final report that includes the </w:t>
      </w:r>
      <w:r>
        <w:rPr>
          <w:rFonts w:asciiTheme="majorHAnsi" w:hAnsiTheme="majorHAnsi" w:cs="Wingdings"/>
        </w:rPr>
        <w:t xml:space="preserve">sources of data, </w:t>
      </w:r>
      <w:r w:rsidRPr="009C37B0">
        <w:rPr>
          <w:rFonts w:asciiTheme="majorHAnsi" w:hAnsiTheme="majorHAnsi" w:cs="Wingdings"/>
        </w:rPr>
        <w:t xml:space="preserve">results of baseline analyses, </w:t>
      </w:r>
      <w:r>
        <w:rPr>
          <w:rFonts w:asciiTheme="majorHAnsi" w:hAnsiTheme="majorHAnsi" w:cs="Wingdings"/>
        </w:rPr>
        <w:t xml:space="preserve">replicable </w:t>
      </w:r>
      <w:r w:rsidRPr="009C37B0">
        <w:rPr>
          <w:rFonts w:asciiTheme="majorHAnsi" w:hAnsiTheme="majorHAnsi" w:cs="Wingdings"/>
        </w:rPr>
        <w:t xml:space="preserve">methods used for data collection and analysis, and the methodology </w:t>
      </w:r>
      <w:r>
        <w:rPr>
          <w:rFonts w:asciiTheme="majorHAnsi" w:hAnsiTheme="majorHAnsi" w:cs="Wingdings"/>
        </w:rPr>
        <w:t xml:space="preserve">that will be used </w:t>
      </w:r>
      <w:r w:rsidRPr="009C37B0">
        <w:rPr>
          <w:rFonts w:asciiTheme="majorHAnsi" w:hAnsiTheme="majorHAnsi" w:cs="Wingdings"/>
        </w:rPr>
        <w:t>to detect change against the baseline in the future</w:t>
      </w:r>
      <w:r w:rsidR="00B141E0">
        <w:rPr>
          <w:rFonts w:asciiTheme="majorHAnsi" w:hAnsiTheme="majorHAnsi" w:cs="Wingdings"/>
        </w:rPr>
        <w:t xml:space="preserve"> (hereafter called the “Monitoring Plan”)</w:t>
      </w:r>
      <w:r w:rsidRPr="009C37B0">
        <w:rPr>
          <w:rFonts w:asciiTheme="majorHAnsi" w:hAnsiTheme="majorHAnsi" w:cs="Wingdings"/>
        </w:rPr>
        <w:t xml:space="preserve">.   </w:t>
      </w:r>
      <w:r w:rsidR="00B141E0">
        <w:rPr>
          <w:rFonts w:asciiTheme="majorHAnsi" w:hAnsiTheme="majorHAnsi" w:cs="Wingdings"/>
        </w:rPr>
        <w:t xml:space="preserve">The methodology described in the Monitoring Plan should be chosen in consultation with TNC staff and should be designed in consideration of available resources and </w:t>
      </w:r>
      <w:r w:rsidR="003F6DD5">
        <w:rPr>
          <w:rFonts w:asciiTheme="majorHAnsi" w:hAnsiTheme="majorHAnsi" w:cs="Wingdings"/>
        </w:rPr>
        <w:t>context.</w:t>
      </w:r>
      <w:r w:rsidR="00B141E0">
        <w:rPr>
          <w:rFonts w:asciiTheme="majorHAnsi" w:hAnsiTheme="majorHAnsi" w:cs="Wingdings"/>
        </w:rPr>
        <w:t xml:space="preserve"> </w:t>
      </w:r>
    </w:p>
    <w:p w:rsidR="003A6C88" w:rsidRPr="00AA0B37" w:rsidRDefault="00132AB5" w:rsidP="00132AB5">
      <w:pPr>
        <w:pStyle w:val="Heading1"/>
        <w:rPr>
          <w:rFonts w:cs="Times"/>
        </w:rPr>
      </w:pPr>
      <w:r w:rsidRPr="00AA0B37">
        <w:t xml:space="preserve">Activities </w:t>
      </w:r>
      <w:r w:rsidR="000E6E10" w:rsidRPr="00AA0B37">
        <w:t>and Timeline</w:t>
      </w:r>
    </w:p>
    <w:p w:rsidR="00DF6424" w:rsidRPr="00AA0B37" w:rsidRDefault="002560B0" w:rsidP="002560B0">
      <w:pPr>
        <w:rPr>
          <w:rFonts w:asciiTheme="majorHAnsi" w:hAnsiTheme="majorHAnsi"/>
        </w:rPr>
      </w:pPr>
      <w:r w:rsidRPr="00AA0B37">
        <w:rPr>
          <w:rFonts w:asciiTheme="majorHAnsi" w:hAnsiTheme="majorHAnsi"/>
        </w:rPr>
        <w:t xml:space="preserve">The consultancy will begin no later than </w:t>
      </w:r>
      <w:r w:rsidRPr="00AA0B37">
        <w:rPr>
          <w:rFonts w:asciiTheme="majorHAnsi" w:hAnsiTheme="majorHAnsi"/>
          <w:u w:val="single"/>
        </w:rPr>
        <w:t>May 15, 2015</w:t>
      </w:r>
      <w:r w:rsidRPr="00AA0B37">
        <w:rPr>
          <w:rFonts w:asciiTheme="majorHAnsi" w:hAnsiTheme="majorHAnsi"/>
        </w:rPr>
        <w:t xml:space="preserve"> and the contract will last </w:t>
      </w:r>
      <w:r w:rsidR="003F6DD5">
        <w:rPr>
          <w:rFonts w:asciiTheme="majorHAnsi" w:hAnsiTheme="majorHAnsi"/>
        </w:rPr>
        <w:t>through</w:t>
      </w:r>
      <w:r w:rsidR="00D61E90">
        <w:rPr>
          <w:rFonts w:asciiTheme="majorHAnsi" w:hAnsiTheme="majorHAnsi"/>
        </w:rPr>
        <w:t xml:space="preserve"> December 31, 2015.</w:t>
      </w:r>
      <w:r w:rsidRPr="00AA0B37">
        <w:rPr>
          <w:rFonts w:asciiTheme="majorHAnsi" w:hAnsiTheme="majorHAnsi"/>
        </w:rPr>
        <w:t xml:space="preserve">  The following activities and timeline will be observed, subject to change as necessary and only with prior approval of TNC.</w:t>
      </w:r>
    </w:p>
    <w:p w:rsidR="002560B0" w:rsidRPr="00AA0B37" w:rsidRDefault="002560B0" w:rsidP="002560B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D53D23" w:rsidRPr="00AA0B37" w:rsidTr="00AE22E3">
        <w:tc>
          <w:tcPr>
            <w:tcW w:w="3192" w:type="dxa"/>
          </w:tcPr>
          <w:p w:rsidR="00D53D23" w:rsidRPr="00AA0B37" w:rsidRDefault="00D53D23" w:rsidP="002560B0">
            <w:pPr>
              <w:rPr>
                <w:rFonts w:asciiTheme="majorHAnsi" w:hAnsiTheme="majorHAnsi"/>
                <w:b/>
              </w:rPr>
            </w:pPr>
            <w:r w:rsidRPr="00AA0B37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3192" w:type="dxa"/>
          </w:tcPr>
          <w:p w:rsidR="00D53D23" w:rsidRPr="00AA0B37" w:rsidRDefault="00D53D23" w:rsidP="002560B0">
            <w:pPr>
              <w:rPr>
                <w:rFonts w:asciiTheme="majorHAnsi" w:hAnsiTheme="majorHAnsi"/>
                <w:b/>
              </w:rPr>
            </w:pPr>
            <w:r w:rsidRPr="00AA0B37">
              <w:rPr>
                <w:rFonts w:asciiTheme="majorHAnsi" w:hAnsiTheme="majorHAnsi"/>
                <w:b/>
              </w:rPr>
              <w:t>Due Date</w:t>
            </w:r>
          </w:p>
        </w:tc>
      </w:tr>
      <w:tr w:rsidR="002560B0" w:rsidRPr="00AA0B37" w:rsidTr="00AE22E3">
        <w:tc>
          <w:tcPr>
            <w:tcW w:w="3192" w:type="dxa"/>
          </w:tcPr>
          <w:p w:rsidR="002560B0" w:rsidRPr="00AA0B37" w:rsidRDefault="002560B0" w:rsidP="002560B0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AA0B37">
              <w:rPr>
                <w:rFonts w:asciiTheme="majorHAnsi" w:hAnsiTheme="majorHAnsi"/>
              </w:rPr>
              <w:t>Planning meeting #1 with Project Team</w:t>
            </w:r>
            <w:r w:rsidR="00AE22E3" w:rsidRPr="00AA0B37">
              <w:rPr>
                <w:rFonts w:asciiTheme="majorHAnsi" w:hAnsiTheme="majorHAnsi"/>
              </w:rPr>
              <w:t xml:space="preserve"> in Brazil </w:t>
            </w:r>
          </w:p>
        </w:tc>
        <w:tc>
          <w:tcPr>
            <w:tcW w:w="3192" w:type="dxa"/>
          </w:tcPr>
          <w:p w:rsidR="002560B0" w:rsidRPr="00AA0B37" w:rsidRDefault="002560B0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 xml:space="preserve">Late May/Early June </w:t>
            </w:r>
            <w:r w:rsidR="00AE22E3" w:rsidRPr="00AA0B37">
              <w:rPr>
                <w:rFonts w:asciiTheme="majorHAnsi" w:hAnsiTheme="majorHAnsi"/>
              </w:rPr>
              <w:t xml:space="preserve">– exact location and date </w:t>
            </w:r>
            <w:r w:rsidRPr="00AA0B37">
              <w:rPr>
                <w:rFonts w:asciiTheme="majorHAnsi" w:hAnsiTheme="majorHAnsi"/>
              </w:rPr>
              <w:t>TBD</w:t>
            </w:r>
          </w:p>
        </w:tc>
      </w:tr>
      <w:tr w:rsidR="002560B0" w:rsidRPr="00AA0B37" w:rsidTr="00AE22E3">
        <w:tc>
          <w:tcPr>
            <w:tcW w:w="3192" w:type="dxa"/>
          </w:tcPr>
          <w:p w:rsidR="002560B0" w:rsidRPr="00AA0B37" w:rsidRDefault="002560B0" w:rsidP="00B141E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 xml:space="preserve">Detailed work plan for </w:t>
            </w:r>
            <w:r w:rsidR="00B141E0">
              <w:rPr>
                <w:rFonts w:asciiTheme="majorHAnsi" w:hAnsiTheme="majorHAnsi"/>
              </w:rPr>
              <w:t>consultancy</w:t>
            </w:r>
            <w:r w:rsidRPr="00AA0B37">
              <w:rPr>
                <w:rFonts w:asciiTheme="majorHAnsi" w:hAnsiTheme="majorHAnsi"/>
              </w:rPr>
              <w:t xml:space="preserve"> completed</w:t>
            </w:r>
          </w:p>
        </w:tc>
        <w:tc>
          <w:tcPr>
            <w:tcW w:w="3192" w:type="dxa"/>
          </w:tcPr>
          <w:p w:rsidR="002560B0" w:rsidRPr="00AA0B37" w:rsidRDefault="002560B0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June 15</w:t>
            </w:r>
          </w:p>
        </w:tc>
      </w:tr>
      <w:tr w:rsidR="00F7443F" w:rsidRPr="00AA0B37" w:rsidTr="00AE22E3">
        <w:tc>
          <w:tcPr>
            <w:tcW w:w="3192" w:type="dxa"/>
          </w:tcPr>
          <w:p w:rsidR="00F7443F" w:rsidRDefault="00F7443F" w:rsidP="0095467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Background research on SFX program completed</w:t>
            </w:r>
          </w:p>
        </w:tc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15</w:t>
            </w:r>
          </w:p>
        </w:tc>
      </w:tr>
      <w:tr w:rsidR="00F7443F" w:rsidRPr="00AA0B37" w:rsidTr="00AE22E3">
        <w:tc>
          <w:tcPr>
            <w:tcW w:w="3192" w:type="dxa"/>
          </w:tcPr>
          <w:p w:rsidR="00F7443F" w:rsidRPr="00AA0B37" w:rsidRDefault="00F7443F" w:rsidP="00954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Baseline analysis for</w:t>
            </w:r>
            <w:r w:rsidRPr="00AA0B37">
              <w:rPr>
                <w:rFonts w:asciiTheme="majorHAnsi" w:hAnsiTheme="majorHAnsi"/>
              </w:rPr>
              <w:t xml:space="preserve"> indicators</w:t>
            </w:r>
            <w:r>
              <w:rPr>
                <w:rFonts w:asciiTheme="majorHAnsi" w:hAnsiTheme="majorHAnsi"/>
              </w:rPr>
              <w:t xml:space="preserve"> with secondary data</w:t>
            </w:r>
            <w:r w:rsidRPr="00AA0B37">
              <w:rPr>
                <w:rFonts w:asciiTheme="majorHAnsi" w:hAnsiTheme="majorHAnsi"/>
              </w:rPr>
              <w:t xml:space="preserve"> completed</w:t>
            </w:r>
          </w:p>
        </w:tc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June 30</w:t>
            </w:r>
          </w:p>
        </w:tc>
      </w:tr>
      <w:tr w:rsidR="00F7443F" w:rsidRPr="00AA0B37" w:rsidTr="00AE22E3"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 for collection of missing baseline data completed</w:t>
            </w:r>
          </w:p>
        </w:tc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July 15</w:t>
            </w:r>
          </w:p>
        </w:tc>
      </w:tr>
      <w:tr w:rsidR="00F7443F" w:rsidRPr="00AA0B37" w:rsidTr="00AE22E3"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Planning meeting #2 with Project Team</w:t>
            </w:r>
          </w:p>
        </w:tc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Late July/Early August – exact location and date TBD</w:t>
            </w:r>
          </w:p>
        </w:tc>
      </w:tr>
      <w:tr w:rsidR="00F7443F" w:rsidRPr="00AA0B37" w:rsidTr="00AE22E3"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Primary data collection in the field completed</w:t>
            </w:r>
          </w:p>
        </w:tc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August 31</w:t>
            </w:r>
          </w:p>
        </w:tc>
      </w:tr>
      <w:tr w:rsidR="00F7443F" w:rsidRPr="00AA0B37" w:rsidTr="00AE22E3"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 xml:space="preserve">Baseline analysis </w:t>
            </w:r>
            <w:r>
              <w:rPr>
                <w:rFonts w:asciiTheme="majorHAnsi" w:hAnsiTheme="majorHAnsi"/>
              </w:rPr>
              <w:t xml:space="preserve">of primary data </w:t>
            </w:r>
            <w:r w:rsidRPr="00AA0B37">
              <w:rPr>
                <w:rFonts w:asciiTheme="majorHAnsi" w:hAnsiTheme="majorHAnsi"/>
              </w:rPr>
              <w:t>completed</w:t>
            </w:r>
          </w:p>
        </w:tc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November 1</w:t>
            </w:r>
          </w:p>
        </w:tc>
      </w:tr>
      <w:tr w:rsidR="00F7443F" w:rsidRPr="00AA0B37" w:rsidTr="00AE22E3"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Delivery of Draft Final Report</w:t>
            </w:r>
            <w:r>
              <w:rPr>
                <w:rFonts w:asciiTheme="majorHAnsi" w:hAnsiTheme="majorHAnsi"/>
              </w:rPr>
              <w:t xml:space="preserve"> with Monitoring Plan</w:t>
            </w:r>
          </w:p>
        </w:tc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December 1</w:t>
            </w:r>
          </w:p>
        </w:tc>
      </w:tr>
      <w:tr w:rsidR="00F7443F" w:rsidRPr="00AA0B37" w:rsidTr="00AE22E3">
        <w:tc>
          <w:tcPr>
            <w:tcW w:w="3192" w:type="dxa"/>
          </w:tcPr>
          <w:p w:rsidR="00F7443F" w:rsidRPr="00AA0B37" w:rsidRDefault="00F7443F" w:rsidP="0095467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Delivery of Final Report</w:t>
            </w:r>
            <w:r>
              <w:rPr>
                <w:rFonts w:asciiTheme="majorHAnsi" w:hAnsiTheme="majorHAnsi"/>
              </w:rPr>
              <w:t xml:space="preserve"> with Monitoring Plan</w:t>
            </w:r>
          </w:p>
        </w:tc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 w:rsidRPr="00AA0B37">
              <w:rPr>
                <w:rFonts w:asciiTheme="majorHAnsi" w:hAnsiTheme="majorHAnsi"/>
              </w:rPr>
              <w:t>December 15</w:t>
            </w:r>
          </w:p>
        </w:tc>
      </w:tr>
      <w:tr w:rsidR="00F7443F" w:rsidRPr="00AA0B37" w:rsidTr="00AE22E3">
        <w:tc>
          <w:tcPr>
            <w:tcW w:w="3192" w:type="dxa"/>
          </w:tcPr>
          <w:p w:rsidR="00F7443F" w:rsidRPr="00AA0B37" w:rsidRDefault="00F7443F" w:rsidP="00954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Delivery of primary and secondary database</w:t>
            </w:r>
          </w:p>
        </w:tc>
        <w:tc>
          <w:tcPr>
            <w:tcW w:w="3192" w:type="dxa"/>
          </w:tcPr>
          <w:p w:rsidR="00F7443F" w:rsidRPr="00AA0B37" w:rsidRDefault="00F7443F" w:rsidP="002560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31</w:t>
            </w:r>
          </w:p>
        </w:tc>
      </w:tr>
    </w:tbl>
    <w:p w:rsidR="002560B0" w:rsidRPr="00AA0B37" w:rsidRDefault="002560B0" w:rsidP="002560B0">
      <w:pPr>
        <w:rPr>
          <w:rFonts w:asciiTheme="majorHAnsi" w:hAnsiTheme="majorHAnsi"/>
        </w:rPr>
      </w:pPr>
    </w:p>
    <w:p w:rsidR="003A6C88" w:rsidRPr="00AA0B37" w:rsidRDefault="003A6C88" w:rsidP="003A6C88">
      <w:pPr>
        <w:pStyle w:val="Heading1"/>
        <w:rPr>
          <w:rFonts w:cs="Times"/>
        </w:rPr>
      </w:pPr>
      <w:r w:rsidRPr="00AA0B37">
        <w:t xml:space="preserve">PRODUCTS AND TERMS </w:t>
      </w:r>
    </w:p>
    <w:tbl>
      <w:tblPr>
        <w:tblW w:w="64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070"/>
      </w:tblGrid>
      <w:tr w:rsidR="00AA0B37" w:rsidRPr="00AA0B37" w:rsidTr="00AA0B37"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6C88" w:rsidRPr="004E2EA3" w:rsidRDefault="003A6C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4E2EA3">
              <w:rPr>
                <w:rFonts w:asciiTheme="majorHAnsi" w:hAnsiTheme="majorHAnsi" w:cs="Calibri"/>
                <w:b/>
              </w:rPr>
              <w:t xml:space="preserve">Deliverables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6C88" w:rsidRPr="004E2EA3" w:rsidRDefault="003A6C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</w:rPr>
            </w:pPr>
            <w:r w:rsidRPr="004E2EA3">
              <w:rPr>
                <w:rFonts w:asciiTheme="majorHAnsi" w:hAnsiTheme="majorHAnsi" w:cs="Calibri"/>
                <w:b/>
              </w:rPr>
              <w:t xml:space="preserve">Deadlines </w:t>
            </w:r>
          </w:p>
        </w:tc>
      </w:tr>
      <w:tr w:rsidR="00AA0B37" w:rsidRPr="00AA0B37" w:rsidTr="00AA0B37">
        <w:tblPrEx>
          <w:tblBorders>
            <w:top w:val="none" w:sz="0" w:space="0" w:color="auto"/>
          </w:tblBorders>
        </w:tblPrEx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6C88" w:rsidRPr="00AA0B37" w:rsidRDefault="003A6C88" w:rsidP="006B69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AA0B37">
              <w:rPr>
                <w:rFonts w:asciiTheme="majorHAnsi" w:hAnsiTheme="majorHAnsi" w:cs="Calibri"/>
              </w:rPr>
              <w:t xml:space="preserve">Detailed work plan with activities and deadlines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6C88" w:rsidRPr="00AA0B37" w:rsidRDefault="00D53D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AA0B37">
              <w:rPr>
                <w:rFonts w:asciiTheme="majorHAnsi" w:hAnsiTheme="majorHAnsi" w:cs="Calibri"/>
              </w:rPr>
              <w:t>June 15</w:t>
            </w:r>
            <w:r w:rsidR="003A6C88" w:rsidRPr="00AA0B37">
              <w:rPr>
                <w:rFonts w:asciiTheme="majorHAnsi" w:hAnsiTheme="majorHAnsi" w:cs="Calibri"/>
              </w:rPr>
              <w:t xml:space="preserve"> </w:t>
            </w:r>
          </w:p>
        </w:tc>
      </w:tr>
      <w:tr w:rsidR="00AA0B37" w:rsidRPr="00AA0B37" w:rsidTr="00AA0B37">
        <w:tblPrEx>
          <w:tblBorders>
            <w:top w:val="none" w:sz="0" w:space="0" w:color="auto"/>
          </w:tblBorders>
        </w:tblPrEx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6C88" w:rsidRPr="00AA0B37" w:rsidRDefault="00954670" w:rsidP="006B69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/>
              </w:rPr>
              <w:t>Baseline analysis for</w:t>
            </w:r>
            <w:r w:rsidRPr="00AA0B37">
              <w:rPr>
                <w:rFonts w:asciiTheme="majorHAnsi" w:hAnsiTheme="majorHAnsi"/>
              </w:rPr>
              <w:t xml:space="preserve"> indicators</w:t>
            </w:r>
            <w:r>
              <w:rPr>
                <w:rFonts w:asciiTheme="majorHAnsi" w:hAnsiTheme="majorHAnsi"/>
              </w:rPr>
              <w:t xml:space="preserve"> with secondary data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6C88" w:rsidRPr="00AA0B37" w:rsidRDefault="00954670" w:rsidP="009546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June</w:t>
            </w:r>
            <w:r w:rsidR="00D53D23" w:rsidRPr="00AA0B37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30</w:t>
            </w:r>
          </w:p>
        </w:tc>
      </w:tr>
      <w:tr w:rsidR="00AA0B37" w:rsidRPr="00AA0B37" w:rsidTr="00AA0B37"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6C88" w:rsidRPr="00AA0B37" w:rsidRDefault="00954670" w:rsidP="00FD20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/>
              </w:rPr>
              <w:t>Baseline analysis for</w:t>
            </w:r>
            <w:r w:rsidRPr="00AA0B37">
              <w:rPr>
                <w:rFonts w:asciiTheme="majorHAnsi" w:hAnsiTheme="majorHAnsi"/>
              </w:rPr>
              <w:t xml:space="preserve"> indicators</w:t>
            </w:r>
            <w:r>
              <w:rPr>
                <w:rFonts w:asciiTheme="majorHAnsi" w:hAnsiTheme="majorHAnsi"/>
              </w:rPr>
              <w:t xml:space="preserve"> with </w:t>
            </w:r>
            <w:r w:rsidR="00FD208C">
              <w:rPr>
                <w:rFonts w:asciiTheme="majorHAnsi" w:hAnsiTheme="majorHAnsi"/>
              </w:rPr>
              <w:t>primary</w:t>
            </w:r>
            <w:r>
              <w:rPr>
                <w:rFonts w:asciiTheme="majorHAnsi" w:hAnsiTheme="majorHAnsi"/>
              </w:rPr>
              <w:t xml:space="preserve"> data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69DA" w:rsidRPr="00AA0B37" w:rsidRDefault="00D8463E" w:rsidP="00FD20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</w:rPr>
            </w:pPr>
            <w:r w:rsidRPr="00AA0B37">
              <w:rPr>
                <w:rFonts w:asciiTheme="majorHAnsi" w:hAnsiTheme="majorHAnsi" w:cs="Calibri"/>
              </w:rPr>
              <w:t>November 1</w:t>
            </w:r>
          </w:p>
        </w:tc>
      </w:tr>
      <w:tr w:rsidR="00AA0B37" w:rsidRPr="00AA0B37" w:rsidTr="00AA0B37"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69DA" w:rsidRPr="00AA0B37" w:rsidRDefault="00FD208C" w:rsidP="003B15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</w:rPr>
            </w:pPr>
            <w:r w:rsidRPr="00AA0B37">
              <w:rPr>
                <w:rFonts w:asciiTheme="majorHAnsi" w:hAnsiTheme="majorHAnsi"/>
              </w:rPr>
              <w:t>Final Report</w:t>
            </w:r>
            <w:r>
              <w:rPr>
                <w:rFonts w:asciiTheme="majorHAnsi" w:hAnsiTheme="majorHAnsi"/>
              </w:rPr>
              <w:t xml:space="preserve"> with Monitoring Plan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69DA" w:rsidRPr="00AA0B37" w:rsidRDefault="00D846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</w:rPr>
            </w:pPr>
            <w:r w:rsidRPr="00AA0B37">
              <w:rPr>
                <w:rFonts w:asciiTheme="majorHAnsi" w:hAnsiTheme="majorHAnsi" w:cs="Calibri"/>
              </w:rPr>
              <w:t>December 15</w:t>
            </w:r>
          </w:p>
        </w:tc>
      </w:tr>
      <w:tr w:rsidR="00AA0B37" w:rsidRPr="00AA0B37" w:rsidTr="00AA0B37"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FC8" w:rsidRPr="00AA0B37" w:rsidRDefault="00BF5F49" w:rsidP="00FD208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</w:rPr>
            </w:pPr>
            <w:r w:rsidRPr="00AA0B37">
              <w:rPr>
                <w:rFonts w:asciiTheme="majorHAnsi" w:hAnsiTheme="majorHAnsi" w:cs="Calibri"/>
              </w:rPr>
              <w:t>Cleaned</w:t>
            </w:r>
            <w:r w:rsidR="00D8463E" w:rsidRPr="00AA0B37">
              <w:rPr>
                <w:rFonts w:asciiTheme="majorHAnsi" w:hAnsiTheme="majorHAnsi" w:cs="Calibri"/>
              </w:rPr>
              <w:t>, formatted</w:t>
            </w:r>
            <w:r w:rsidRPr="00AA0B37">
              <w:rPr>
                <w:rFonts w:asciiTheme="majorHAnsi" w:hAnsiTheme="majorHAnsi" w:cs="Calibri"/>
              </w:rPr>
              <w:t xml:space="preserve"> and </w:t>
            </w:r>
            <w:r w:rsidR="00B91FC8" w:rsidRPr="00AA0B37">
              <w:rPr>
                <w:rFonts w:asciiTheme="majorHAnsi" w:hAnsiTheme="majorHAnsi" w:cs="Calibri"/>
              </w:rPr>
              <w:t xml:space="preserve">analyzed </w:t>
            </w:r>
            <w:r w:rsidR="00D8463E" w:rsidRPr="00AA0B37">
              <w:rPr>
                <w:rFonts w:asciiTheme="majorHAnsi" w:hAnsiTheme="majorHAnsi" w:cs="Calibri"/>
              </w:rPr>
              <w:t>database of primary and secondary data</w:t>
            </w:r>
            <w:r w:rsidR="00B91FC8" w:rsidRPr="00AA0B37">
              <w:rPr>
                <w:rFonts w:asciiTheme="majorHAnsi" w:hAnsiTheme="majorHAnsi" w:cs="Calibri"/>
              </w:rPr>
              <w:t xml:space="preserve"> in Excel, SPSS or Stata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FC8" w:rsidRPr="00AA0B37" w:rsidRDefault="00D846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</w:rPr>
            </w:pPr>
            <w:r w:rsidRPr="00AA0B37">
              <w:rPr>
                <w:rFonts w:asciiTheme="majorHAnsi" w:hAnsiTheme="majorHAnsi" w:cs="Calibri"/>
              </w:rPr>
              <w:t>December 31</w:t>
            </w:r>
          </w:p>
        </w:tc>
      </w:tr>
    </w:tbl>
    <w:p w:rsidR="00B914AA" w:rsidRPr="00AA0B37" w:rsidRDefault="00B914AA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</w:p>
    <w:p w:rsidR="003A6C88" w:rsidRPr="00AA0B37" w:rsidRDefault="003A6C88" w:rsidP="00B914AA">
      <w:pPr>
        <w:pStyle w:val="Heading1"/>
        <w:rPr>
          <w:rFonts w:cs="Times"/>
        </w:rPr>
      </w:pPr>
      <w:r w:rsidRPr="00AA0B37">
        <w:t xml:space="preserve">PAYMENT METHOD </w:t>
      </w:r>
    </w:p>
    <w:p w:rsidR="00F7734A" w:rsidRDefault="006E23F6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</w:t>
      </w:r>
      <w:r w:rsidR="00B914AA" w:rsidRPr="00AA0B37">
        <w:rPr>
          <w:rFonts w:asciiTheme="majorHAnsi" w:hAnsiTheme="majorHAnsi" w:cs="Calibri"/>
        </w:rPr>
        <w:t>ayment will be made a</w:t>
      </w:r>
      <w:r w:rsidR="003A6C88" w:rsidRPr="00AA0B37">
        <w:rPr>
          <w:rFonts w:asciiTheme="majorHAnsi" w:hAnsiTheme="majorHAnsi" w:cs="Calibri"/>
        </w:rPr>
        <w:t xml:space="preserve">fter delivery, review and approval by the technical staff of </w:t>
      </w:r>
      <w:r>
        <w:rPr>
          <w:rFonts w:asciiTheme="majorHAnsi" w:hAnsiTheme="majorHAnsi" w:cs="Calibri"/>
        </w:rPr>
        <w:t xml:space="preserve">each of </w:t>
      </w:r>
      <w:r w:rsidR="00F7734A" w:rsidRPr="00AA0B37">
        <w:rPr>
          <w:rFonts w:asciiTheme="majorHAnsi" w:hAnsiTheme="majorHAnsi" w:cs="Calibri"/>
        </w:rPr>
        <w:t>the following deliverables provided by the contractor</w:t>
      </w:r>
      <w:r w:rsidR="003A6C88" w:rsidRPr="00AA0B37">
        <w:rPr>
          <w:rFonts w:asciiTheme="majorHAnsi" w:hAnsiTheme="majorHAnsi" w:cs="Calibri"/>
        </w:rPr>
        <w:t>.</w:t>
      </w:r>
    </w:p>
    <w:p w:rsidR="00FD208C" w:rsidRPr="00FD208C" w:rsidRDefault="00FD208C" w:rsidP="00FD20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>
        <w:rPr>
          <w:rFonts w:asciiTheme="majorHAnsi" w:hAnsiTheme="majorHAnsi"/>
        </w:rPr>
        <w:t>Baseline analysis for</w:t>
      </w:r>
      <w:r w:rsidRPr="00AA0B37">
        <w:rPr>
          <w:rFonts w:asciiTheme="majorHAnsi" w:hAnsiTheme="majorHAnsi"/>
        </w:rPr>
        <w:t xml:space="preserve"> indicators</w:t>
      </w:r>
      <w:r>
        <w:rPr>
          <w:rFonts w:asciiTheme="majorHAnsi" w:hAnsiTheme="majorHAnsi"/>
        </w:rPr>
        <w:t xml:space="preserve"> with secondary data</w:t>
      </w:r>
    </w:p>
    <w:p w:rsidR="00FD208C" w:rsidRPr="00FD208C" w:rsidRDefault="00FD208C" w:rsidP="00FD20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>
        <w:rPr>
          <w:rFonts w:asciiTheme="majorHAnsi" w:hAnsiTheme="majorHAnsi"/>
        </w:rPr>
        <w:t>Baseline analysis for</w:t>
      </w:r>
      <w:r w:rsidRPr="00AA0B37">
        <w:rPr>
          <w:rFonts w:asciiTheme="majorHAnsi" w:hAnsiTheme="majorHAnsi"/>
        </w:rPr>
        <w:t xml:space="preserve"> indicators</w:t>
      </w:r>
      <w:r>
        <w:rPr>
          <w:rFonts w:asciiTheme="majorHAnsi" w:hAnsiTheme="majorHAnsi"/>
        </w:rPr>
        <w:t xml:space="preserve"> with primary data</w:t>
      </w:r>
    </w:p>
    <w:p w:rsidR="00FD208C" w:rsidRPr="00FD208C" w:rsidRDefault="00FD208C" w:rsidP="00FD20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A0B37">
        <w:rPr>
          <w:rFonts w:asciiTheme="majorHAnsi" w:hAnsiTheme="majorHAnsi"/>
        </w:rPr>
        <w:t>Final Report</w:t>
      </w:r>
      <w:r>
        <w:rPr>
          <w:rFonts w:asciiTheme="majorHAnsi" w:hAnsiTheme="majorHAnsi"/>
        </w:rPr>
        <w:t xml:space="preserve"> with Monitoring Plan and database</w:t>
      </w:r>
    </w:p>
    <w:p w:rsidR="003A6C88" w:rsidRPr="00AA0B37" w:rsidRDefault="003A6C88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0B37">
        <w:rPr>
          <w:rFonts w:asciiTheme="majorHAnsi" w:hAnsiTheme="majorHAnsi" w:cs="Calibri"/>
        </w:rPr>
        <w:t xml:space="preserve">Administrative procedures for payment begin after approval of the product. </w:t>
      </w:r>
    </w:p>
    <w:p w:rsidR="00512B0F" w:rsidRPr="00512B0F" w:rsidRDefault="00512B0F" w:rsidP="00512B0F">
      <w:pPr>
        <w:pStyle w:val="Heading1"/>
        <w:rPr>
          <w:rFonts w:cs="Times"/>
        </w:rPr>
      </w:pPr>
      <w:r>
        <w:t>Required Skills</w:t>
      </w:r>
    </w:p>
    <w:p w:rsidR="00512B0F" w:rsidRDefault="00512B0F" w:rsidP="00512B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512B0F">
        <w:rPr>
          <w:rFonts w:asciiTheme="majorHAnsi" w:hAnsiTheme="majorHAnsi" w:cs="Calibri"/>
        </w:rPr>
        <w:t xml:space="preserve">Individual or entity with experience of at least five (5) years conducting </w:t>
      </w:r>
      <w:r w:rsidR="009D64E4">
        <w:rPr>
          <w:rFonts w:asciiTheme="majorHAnsi" w:hAnsiTheme="majorHAnsi" w:cs="Calibri"/>
        </w:rPr>
        <w:t xml:space="preserve">surveys </w:t>
      </w:r>
      <w:r w:rsidR="00FD208C">
        <w:rPr>
          <w:rFonts w:asciiTheme="majorHAnsi" w:hAnsiTheme="majorHAnsi" w:cs="Calibri"/>
        </w:rPr>
        <w:t xml:space="preserve">and collecting data </w:t>
      </w:r>
      <w:r w:rsidR="009D64E4">
        <w:rPr>
          <w:rFonts w:asciiTheme="majorHAnsi" w:hAnsiTheme="majorHAnsi" w:cs="Calibri"/>
        </w:rPr>
        <w:t>in rural areas.</w:t>
      </w:r>
    </w:p>
    <w:p w:rsidR="00512B0F" w:rsidRPr="00512B0F" w:rsidRDefault="00512B0F" w:rsidP="00512B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>
        <w:rPr>
          <w:rFonts w:asciiTheme="majorHAnsi" w:hAnsiTheme="majorHAnsi" w:cs="Wingdings"/>
        </w:rPr>
        <w:t>A</w:t>
      </w:r>
      <w:r w:rsidRPr="00512B0F">
        <w:rPr>
          <w:rFonts w:asciiTheme="majorHAnsi" w:hAnsiTheme="majorHAnsi" w:cs="Wingdings"/>
        </w:rPr>
        <w:t xml:space="preserve">dvanced quantitative analysis skills </w:t>
      </w:r>
      <w:r w:rsidR="00FD208C">
        <w:rPr>
          <w:rFonts w:asciiTheme="majorHAnsi" w:hAnsiTheme="majorHAnsi" w:cs="Wingdings"/>
        </w:rPr>
        <w:t xml:space="preserve">(including use of </w:t>
      </w:r>
      <w:r w:rsidR="002E4F44">
        <w:rPr>
          <w:rFonts w:asciiTheme="majorHAnsi" w:hAnsiTheme="majorHAnsi" w:cs="Wingdings"/>
        </w:rPr>
        <w:t xml:space="preserve">statistical programs such as </w:t>
      </w:r>
      <w:r w:rsidR="00FD208C" w:rsidRPr="00AA0B37">
        <w:rPr>
          <w:rFonts w:asciiTheme="majorHAnsi" w:hAnsiTheme="majorHAnsi" w:cs="Wingdings"/>
        </w:rPr>
        <w:t xml:space="preserve">Excel, SPSS </w:t>
      </w:r>
      <w:r w:rsidR="00FD208C">
        <w:rPr>
          <w:rFonts w:asciiTheme="majorHAnsi" w:hAnsiTheme="majorHAnsi" w:cs="Wingdings"/>
        </w:rPr>
        <w:t>and/</w:t>
      </w:r>
      <w:r w:rsidR="00FD208C" w:rsidRPr="00AA0B37">
        <w:rPr>
          <w:rFonts w:asciiTheme="majorHAnsi" w:hAnsiTheme="majorHAnsi" w:cs="Wingdings"/>
        </w:rPr>
        <w:t>or Stata</w:t>
      </w:r>
      <w:r w:rsidR="00FD208C">
        <w:rPr>
          <w:rFonts w:asciiTheme="majorHAnsi" w:hAnsiTheme="majorHAnsi" w:cs="Wingdings"/>
        </w:rPr>
        <w:t>)</w:t>
      </w:r>
      <w:r w:rsidR="00FD208C" w:rsidRPr="00512B0F">
        <w:rPr>
          <w:rFonts w:asciiTheme="majorHAnsi" w:hAnsiTheme="majorHAnsi" w:cs="Wingdings"/>
        </w:rPr>
        <w:t xml:space="preserve"> </w:t>
      </w:r>
      <w:r w:rsidRPr="00512B0F">
        <w:rPr>
          <w:rFonts w:asciiTheme="majorHAnsi" w:hAnsiTheme="majorHAnsi" w:cs="Wingdings"/>
        </w:rPr>
        <w:t>and abili</w:t>
      </w:r>
      <w:r w:rsidR="009D64E4">
        <w:rPr>
          <w:rFonts w:asciiTheme="majorHAnsi" w:hAnsiTheme="majorHAnsi" w:cs="Wingdings"/>
        </w:rPr>
        <w:t xml:space="preserve">ty to </w:t>
      </w:r>
      <w:r w:rsidR="002E4F44">
        <w:rPr>
          <w:rFonts w:asciiTheme="majorHAnsi" w:hAnsiTheme="majorHAnsi" w:cs="Wingdings"/>
        </w:rPr>
        <w:t xml:space="preserve">clean and </w:t>
      </w:r>
      <w:r w:rsidR="009D64E4">
        <w:rPr>
          <w:rFonts w:asciiTheme="majorHAnsi" w:hAnsiTheme="majorHAnsi" w:cs="Wingdings"/>
        </w:rPr>
        <w:t>work with large datasets</w:t>
      </w:r>
      <w:r w:rsidR="00FD208C">
        <w:rPr>
          <w:rFonts w:asciiTheme="majorHAnsi" w:hAnsiTheme="majorHAnsi" w:cs="Wingdings"/>
        </w:rPr>
        <w:t>.</w:t>
      </w:r>
      <w:r w:rsidR="009D64E4">
        <w:rPr>
          <w:rFonts w:asciiTheme="majorHAnsi" w:hAnsiTheme="majorHAnsi" w:cs="Wingdings"/>
        </w:rPr>
        <w:t xml:space="preserve"> </w:t>
      </w:r>
    </w:p>
    <w:p w:rsidR="005A4F75" w:rsidRPr="005A4F75" w:rsidRDefault="002E4F44" w:rsidP="00512B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>
        <w:rPr>
          <w:rFonts w:asciiTheme="majorHAnsi" w:hAnsiTheme="majorHAnsi" w:cs="Calibri"/>
        </w:rPr>
        <w:t>Proven e</w:t>
      </w:r>
      <w:r w:rsidR="00512B0F">
        <w:rPr>
          <w:rFonts w:asciiTheme="majorHAnsi" w:hAnsiTheme="majorHAnsi" w:cs="Calibri"/>
        </w:rPr>
        <w:t xml:space="preserve">xpertise in </w:t>
      </w:r>
      <w:r w:rsidR="00FD208C">
        <w:rPr>
          <w:rFonts w:asciiTheme="majorHAnsi" w:hAnsiTheme="majorHAnsi" w:cs="Calibri"/>
        </w:rPr>
        <w:t xml:space="preserve">socioeconomic </w:t>
      </w:r>
      <w:r w:rsidR="00512B0F" w:rsidRPr="00512B0F">
        <w:rPr>
          <w:rFonts w:asciiTheme="majorHAnsi" w:hAnsiTheme="majorHAnsi" w:cs="Calibri"/>
        </w:rPr>
        <w:t xml:space="preserve">monitoring plan design </w:t>
      </w:r>
      <w:r w:rsidR="00512B0F">
        <w:rPr>
          <w:rFonts w:asciiTheme="majorHAnsi" w:hAnsiTheme="majorHAnsi" w:cs="Calibri"/>
        </w:rPr>
        <w:t>and implementation</w:t>
      </w:r>
      <w:r>
        <w:rPr>
          <w:rFonts w:asciiTheme="majorHAnsi" w:hAnsiTheme="majorHAnsi" w:cs="Calibri"/>
        </w:rPr>
        <w:t xml:space="preserve"> of studies to determine changes in human well-being</w:t>
      </w:r>
      <w:r w:rsidR="00FD208C">
        <w:rPr>
          <w:rFonts w:asciiTheme="majorHAnsi" w:hAnsiTheme="majorHAnsi" w:cs="Calibri"/>
        </w:rPr>
        <w:t xml:space="preserve">, particularly under various levels of </w:t>
      </w:r>
      <w:r w:rsidR="00330257">
        <w:rPr>
          <w:rFonts w:asciiTheme="majorHAnsi" w:hAnsiTheme="majorHAnsi" w:cs="Calibri"/>
        </w:rPr>
        <w:t>resource constraint</w:t>
      </w:r>
      <w:r w:rsidR="00FD208C">
        <w:rPr>
          <w:rFonts w:asciiTheme="majorHAnsi" w:hAnsiTheme="majorHAnsi" w:cs="Calibri"/>
        </w:rPr>
        <w:t>.</w:t>
      </w:r>
    </w:p>
    <w:p w:rsidR="00512B0F" w:rsidRDefault="002E4F44" w:rsidP="003A6C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>
        <w:rPr>
          <w:rFonts w:asciiTheme="majorHAnsi" w:hAnsiTheme="majorHAnsi" w:cs="Wingdings"/>
        </w:rPr>
        <w:lastRenderedPageBreak/>
        <w:t>Competence</w:t>
      </w:r>
      <w:r w:rsidR="00512B0F">
        <w:rPr>
          <w:rFonts w:asciiTheme="majorHAnsi" w:hAnsiTheme="majorHAnsi" w:cs="Wingdings"/>
        </w:rPr>
        <w:t xml:space="preserve"> </w:t>
      </w:r>
      <w:r w:rsidR="00512B0F" w:rsidRPr="00FD208C">
        <w:rPr>
          <w:rFonts w:asciiTheme="majorHAnsi" w:hAnsiTheme="majorHAnsi" w:cs="Wingdings"/>
        </w:rPr>
        <w:t>in questionnaire design (including ability to draft neutral questions and use skip codes)</w:t>
      </w:r>
      <w:r w:rsidR="007D5033">
        <w:rPr>
          <w:rFonts w:asciiTheme="majorHAnsi" w:hAnsiTheme="majorHAnsi" w:cs="Wingdings"/>
        </w:rPr>
        <w:t>.</w:t>
      </w:r>
    </w:p>
    <w:p w:rsidR="005A4F75" w:rsidRPr="00512B0F" w:rsidRDefault="002E4F44" w:rsidP="005A4F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>
        <w:rPr>
          <w:rFonts w:asciiTheme="majorHAnsi" w:hAnsiTheme="majorHAnsi" w:cs="Calibri"/>
        </w:rPr>
        <w:t>Ability</w:t>
      </w:r>
      <w:r w:rsidR="005A4F75" w:rsidRPr="00512B0F">
        <w:rPr>
          <w:rFonts w:asciiTheme="majorHAnsi" w:hAnsiTheme="majorHAnsi" w:cs="Calibri"/>
        </w:rPr>
        <w:t xml:space="preserve"> </w:t>
      </w:r>
      <w:r w:rsidR="007D5033">
        <w:rPr>
          <w:rFonts w:asciiTheme="majorHAnsi" w:hAnsiTheme="majorHAnsi" w:cs="Calibri"/>
        </w:rPr>
        <w:t xml:space="preserve">to </w:t>
      </w:r>
      <w:r w:rsidR="005A4F75" w:rsidRPr="00512B0F">
        <w:rPr>
          <w:rFonts w:asciiTheme="majorHAnsi" w:hAnsiTheme="majorHAnsi" w:cs="Calibri"/>
        </w:rPr>
        <w:t>facilitate consensus-building among key project stakeholders</w:t>
      </w:r>
      <w:r w:rsidR="007D5033">
        <w:rPr>
          <w:rFonts w:asciiTheme="majorHAnsi" w:hAnsiTheme="majorHAnsi" w:cs="Calibri"/>
        </w:rPr>
        <w:t>.</w:t>
      </w:r>
      <w:r w:rsidR="005A4F75" w:rsidRPr="00512B0F">
        <w:rPr>
          <w:rFonts w:asciiTheme="majorHAnsi" w:hAnsiTheme="majorHAnsi" w:cs="Calibri"/>
        </w:rPr>
        <w:t xml:space="preserve"> </w:t>
      </w:r>
    </w:p>
    <w:p w:rsidR="00512B0F" w:rsidRPr="00512B0F" w:rsidRDefault="00512B0F" w:rsidP="003A6C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>
        <w:rPr>
          <w:rFonts w:asciiTheme="majorHAnsi" w:hAnsiTheme="majorHAnsi" w:cs="Wingdings"/>
        </w:rPr>
        <w:t>Ability to train local e</w:t>
      </w:r>
      <w:r w:rsidRPr="00512B0F">
        <w:rPr>
          <w:rFonts w:asciiTheme="majorHAnsi" w:hAnsiTheme="majorHAnsi" w:cs="Wingdings"/>
        </w:rPr>
        <w:t>numerator</w:t>
      </w:r>
      <w:r w:rsidR="005A4F75">
        <w:rPr>
          <w:rFonts w:asciiTheme="majorHAnsi" w:hAnsiTheme="majorHAnsi" w:cs="Wingdings"/>
        </w:rPr>
        <w:t>s for data collection</w:t>
      </w:r>
      <w:r w:rsidR="007D5033">
        <w:rPr>
          <w:rFonts w:asciiTheme="majorHAnsi" w:hAnsiTheme="majorHAnsi" w:cs="Wingdings"/>
        </w:rPr>
        <w:t>.</w:t>
      </w:r>
    </w:p>
    <w:p w:rsidR="00512B0F" w:rsidRPr="005A4F75" w:rsidRDefault="00512B0F" w:rsidP="003A6C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 w:rsidRPr="00AA0B37">
        <w:rPr>
          <w:rFonts w:asciiTheme="majorHAnsi" w:hAnsiTheme="majorHAnsi" w:cs="Calibri"/>
        </w:rPr>
        <w:t>Excellent communication skills</w:t>
      </w:r>
      <w:r>
        <w:rPr>
          <w:rFonts w:asciiTheme="majorHAnsi" w:hAnsiTheme="majorHAnsi" w:cs="Calibri"/>
        </w:rPr>
        <w:t xml:space="preserve"> in</w:t>
      </w:r>
      <w:r w:rsidRPr="00AA0B37">
        <w:rPr>
          <w:rFonts w:asciiTheme="majorHAnsi" w:hAnsiTheme="majorHAnsi" w:cs="Calibri"/>
        </w:rPr>
        <w:t xml:space="preserve"> both written and verbal English and P</w:t>
      </w:r>
      <w:r w:rsidR="005A4F75">
        <w:rPr>
          <w:rFonts w:asciiTheme="majorHAnsi" w:hAnsiTheme="majorHAnsi" w:cs="Calibri"/>
        </w:rPr>
        <w:t>ortuguese</w:t>
      </w:r>
      <w:r w:rsidR="007D5033">
        <w:rPr>
          <w:rFonts w:asciiTheme="majorHAnsi" w:hAnsiTheme="majorHAnsi" w:cs="Calibri"/>
        </w:rPr>
        <w:t>.</w:t>
      </w:r>
    </w:p>
    <w:p w:rsidR="006E23F6" w:rsidRDefault="005A4F75" w:rsidP="006E23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Wingdings"/>
        </w:rPr>
      </w:pPr>
      <w:r>
        <w:rPr>
          <w:rFonts w:asciiTheme="majorHAnsi" w:hAnsiTheme="majorHAnsi" w:cs="Wingdings"/>
        </w:rPr>
        <w:t xml:space="preserve">Self-motivated, </w:t>
      </w:r>
      <w:r w:rsidRPr="005A4F75">
        <w:rPr>
          <w:rFonts w:asciiTheme="majorHAnsi" w:hAnsiTheme="majorHAnsi" w:cs="Wingdings"/>
        </w:rPr>
        <w:t>self-organized</w:t>
      </w:r>
      <w:r>
        <w:rPr>
          <w:rFonts w:asciiTheme="majorHAnsi" w:hAnsiTheme="majorHAnsi" w:cs="Wingdings"/>
        </w:rPr>
        <w:t>, detail oriented and ability to meet tight deadlines</w:t>
      </w:r>
      <w:r w:rsidR="007D5033">
        <w:rPr>
          <w:rFonts w:asciiTheme="majorHAnsi" w:hAnsiTheme="majorHAnsi" w:cs="Wingdings"/>
        </w:rPr>
        <w:t>.</w:t>
      </w:r>
    </w:p>
    <w:p w:rsidR="003A6C88" w:rsidRPr="00AA0B37" w:rsidRDefault="006E23F6" w:rsidP="00B914AA">
      <w:pPr>
        <w:pStyle w:val="Heading1"/>
        <w:rPr>
          <w:rFonts w:cs="Times"/>
        </w:rPr>
      </w:pPr>
      <w:r>
        <w:t>Proposal requirements</w:t>
      </w:r>
    </w:p>
    <w:p w:rsidR="003A6C88" w:rsidRPr="00AA0B37" w:rsidRDefault="003A6C88" w:rsidP="003A6C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0B37">
        <w:rPr>
          <w:rFonts w:asciiTheme="majorHAnsi" w:hAnsiTheme="majorHAnsi" w:cs="Calibri"/>
        </w:rPr>
        <w:t>The proposals for consideration must include</w:t>
      </w:r>
      <w:r w:rsidR="006E23F6">
        <w:rPr>
          <w:rFonts w:asciiTheme="majorHAnsi" w:hAnsiTheme="majorHAnsi" w:cs="Calibri"/>
        </w:rPr>
        <w:t>,</w:t>
      </w:r>
      <w:r w:rsidRPr="00AA0B37">
        <w:rPr>
          <w:rFonts w:asciiTheme="majorHAnsi" w:hAnsiTheme="majorHAnsi" w:cs="Calibri"/>
        </w:rPr>
        <w:t xml:space="preserve"> at </w:t>
      </w:r>
      <w:r w:rsidR="006E23F6">
        <w:rPr>
          <w:rFonts w:asciiTheme="majorHAnsi" w:hAnsiTheme="majorHAnsi" w:cs="Calibri"/>
        </w:rPr>
        <w:t xml:space="preserve">the </w:t>
      </w:r>
      <w:r w:rsidRPr="00AA0B37">
        <w:rPr>
          <w:rFonts w:asciiTheme="majorHAnsi" w:hAnsiTheme="majorHAnsi" w:cs="Calibri"/>
        </w:rPr>
        <w:t xml:space="preserve">least: </w:t>
      </w:r>
    </w:p>
    <w:p w:rsidR="006E23F6" w:rsidRPr="006E23F6" w:rsidRDefault="003A6C88" w:rsidP="003A6C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E23F6">
        <w:rPr>
          <w:rFonts w:asciiTheme="majorHAnsi" w:hAnsiTheme="majorHAnsi" w:cs="Calibri"/>
        </w:rPr>
        <w:t>Company</w:t>
      </w:r>
      <w:r w:rsidR="006E23F6">
        <w:rPr>
          <w:rFonts w:asciiTheme="majorHAnsi" w:hAnsiTheme="majorHAnsi" w:cs="Calibri"/>
        </w:rPr>
        <w:t xml:space="preserve"> or individual</w:t>
      </w:r>
      <w:r w:rsidRPr="006E23F6">
        <w:rPr>
          <w:rFonts w:asciiTheme="majorHAnsi" w:hAnsiTheme="majorHAnsi" w:cs="Calibri"/>
        </w:rPr>
        <w:t xml:space="preserve"> with name, </w:t>
      </w:r>
      <w:r w:rsidR="00330257">
        <w:rPr>
          <w:rFonts w:asciiTheme="majorHAnsi" w:hAnsiTheme="majorHAnsi" w:cs="Calibri"/>
        </w:rPr>
        <w:t xml:space="preserve">education, related experience, </w:t>
      </w:r>
      <w:r w:rsidR="006E23F6">
        <w:rPr>
          <w:rFonts w:asciiTheme="majorHAnsi" w:hAnsiTheme="majorHAnsi" w:cs="Calibri"/>
        </w:rPr>
        <w:t>qualifications</w:t>
      </w:r>
      <w:r w:rsidRPr="006E23F6">
        <w:rPr>
          <w:rFonts w:asciiTheme="majorHAnsi" w:hAnsiTheme="majorHAnsi" w:cs="Calibri"/>
        </w:rPr>
        <w:t xml:space="preserve">, </w:t>
      </w:r>
      <w:r w:rsidR="006E23F6">
        <w:rPr>
          <w:rFonts w:asciiTheme="majorHAnsi" w:hAnsiTheme="majorHAnsi" w:cs="Calibri"/>
        </w:rPr>
        <w:t>examples of related work/</w:t>
      </w:r>
      <w:r w:rsidRPr="006E23F6">
        <w:rPr>
          <w:rFonts w:asciiTheme="majorHAnsi" w:hAnsiTheme="majorHAnsi" w:cs="Calibri"/>
        </w:rPr>
        <w:t xml:space="preserve">product portfolio (can be </w:t>
      </w:r>
      <w:r w:rsidR="006E23F6">
        <w:rPr>
          <w:rFonts w:asciiTheme="majorHAnsi" w:hAnsiTheme="majorHAnsi" w:cs="Calibri"/>
        </w:rPr>
        <w:t xml:space="preserve">via </w:t>
      </w:r>
      <w:r w:rsidRPr="006E23F6">
        <w:rPr>
          <w:rFonts w:asciiTheme="majorHAnsi" w:hAnsiTheme="majorHAnsi" w:cs="Calibri"/>
        </w:rPr>
        <w:t xml:space="preserve">the company's website) and budget. </w:t>
      </w:r>
    </w:p>
    <w:p w:rsidR="006E23F6" w:rsidRPr="006E23F6" w:rsidRDefault="003A6C88" w:rsidP="003A6C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E23F6">
        <w:rPr>
          <w:rFonts w:asciiTheme="majorHAnsi" w:hAnsiTheme="majorHAnsi" w:cs="Calibri"/>
        </w:rPr>
        <w:t xml:space="preserve">The budget should contain: </w:t>
      </w:r>
    </w:p>
    <w:p w:rsidR="006E23F6" w:rsidRPr="006E23F6" w:rsidRDefault="006E23F6" w:rsidP="006E23F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Description of products</w:t>
      </w:r>
    </w:p>
    <w:p w:rsidR="006E23F6" w:rsidRPr="006E23F6" w:rsidRDefault="006E23F6" w:rsidP="006E23F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The amount</w:t>
      </w:r>
      <w:r w:rsidR="00FF498A">
        <w:rPr>
          <w:rFonts w:asciiTheme="majorHAnsi" w:hAnsiTheme="majorHAnsi" w:cs="Calibri"/>
        </w:rPr>
        <w:t xml:space="preserve"> (in the estimate include the products, travel-related costs, and data collection-related costs)</w:t>
      </w:r>
    </w:p>
    <w:p w:rsidR="006E23F6" w:rsidRPr="006E23F6" w:rsidRDefault="006E23F6" w:rsidP="003A6C8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 xml:space="preserve">Unit value (in </w:t>
      </w:r>
      <w:proofErr w:type="spellStart"/>
      <w:r>
        <w:rPr>
          <w:rFonts w:asciiTheme="majorHAnsi" w:hAnsiTheme="majorHAnsi" w:cs="Calibri"/>
        </w:rPr>
        <w:t>Reais</w:t>
      </w:r>
      <w:proofErr w:type="spellEnd"/>
      <w:r>
        <w:rPr>
          <w:rFonts w:asciiTheme="majorHAnsi" w:hAnsiTheme="majorHAnsi" w:cs="Calibri"/>
        </w:rPr>
        <w:t>)</w:t>
      </w:r>
    </w:p>
    <w:p w:rsidR="006E23F6" w:rsidRPr="006E23F6" w:rsidRDefault="003A6C88" w:rsidP="0033025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E23F6">
        <w:rPr>
          <w:rFonts w:asciiTheme="majorHAnsi" w:hAnsiTheme="majorHAnsi" w:cs="Calibri"/>
        </w:rPr>
        <w:t>Disc</w:t>
      </w:r>
      <w:r w:rsidR="006E23F6">
        <w:rPr>
          <w:rFonts w:asciiTheme="majorHAnsi" w:hAnsiTheme="majorHAnsi" w:cs="Calibri"/>
        </w:rPr>
        <w:t xml:space="preserve">ounted value (in </w:t>
      </w:r>
      <w:proofErr w:type="spellStart"/>
      <w:r w:rsidR="006E23F6">
        <w:rPr>
          <w:rFonts w:asciiTheme="majorHAnsi" w:hAnsiTheme="majorHAnsi" w:cs="Calibri"/>
        </w:rPr>
        <w:t>Reais</w:t>
      </w:r>
      <w:proofErr w:type="spellEnd"/>
      <w:r w:rsidR="006E23F6">
        <w:rPr>
          <w:rFonts w:asciiTheme="majorHAnsi" w:hAnsiTheme="majorHAnsi" w:cs="Calibri"/>
        </w:rPr>
        <w:t>, if any)</w:t>
      </w:r>
      <w:r w:rsidRPr="006E23F6">
        <w:rPr>
          <w:rFonts w:asciiTheme="majorHAnsi" w:hAnsiTheme="majorHAnsi" w:cs="Calibri"/>
        </w:rPr>
        <w:t xml:space="preserve"> </w:t>
      </w:r>
    </w:p>
    <w:p w:rsidR="006E23F6" w:rsidRPr="006E23F6" w:rsidRDefault="003A6C88" w:rsidP="0033025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E23F6">
        <w:rPr>
          <w:rFonts w:asciiTheme="majorHAnsi" w:hAnsiTheme="majorHAnsi" w:cs="Calibri"/>
        </w:rPr>
        <w:t>Total v</w:t>
      </w:r>
      <w:r w:rsidR="006E23F6">
        <w:rPr>
          <w:rFonts w:asciiTheme="majorHAnsi" w:hAnsiTheme="majorHAnsi" w:cs="Calibri"/>
        </w:rPr>
        <w:t xml:space="preserve">alue (in </w:t>
      </w:r>
      <w:proofErr w:type="spellStart"/>
      <w:r w:rsidR="006E23F6">
        <w:rPr>
          <w:rFonts w:asciiTheme="majorHAnsi" w:hAnsiTheme="majorHAnsi" w:cs="Calibri"/>
        </w:rPr>
        <w:t>Reais</w:t>
      </w:r>
      <w:proofErr w:type="spellEnd"/>
      <w:r w:rsidR="006E23F6">
        <w:rPr>
          <w:rFonts w:asciiTheme="majorHAnsi" w:hAnsiTheme="majorHAnsi" w:cs="Calibri"/>
        </w:rPr>
        <w:t>)</w:t>
      </w:r>
    </w:p>
    <w:p w:rsidR="006E23F6" w:rsidRPr="006E23F6" w:rsidRDefault="006E23F6" w:rsidP="003A6C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 xml:space="preserve">Bid </w:t>
      </w:r>
      <w:r w:rsidR="007D5033">
        <w:rPr>
          <w:rFonts w:asciiTheme="majorHAnsi" w:hAnsiTheme="majorHAnsi" w:cs="Calibri"/>
        </w:rPr>
        <w:t xml:space="preserve">validity </w:t>
      </w:r>
      <w:r>
        <w:rPr>
          <w:rFonts w:asciiTheme="majorHAnsi" w:hAnsiTheme="majorHAnsi" w:cs="Calibri"/>
        </w:rPr>
        <w:t>(minimum 45 days)</w:t>
      </w:r>
    </w:p>
    <w:p w:rsidR="003A6C88" w:rsidRPr="006E23F6" w:rsidRDefault="006E23F6" w:rsidP="003A6C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C</w:t>
      </w:r>
      <w:r w:rsidR="003A6C88" w:rsidRPr="006E23F6">
        <w:rPr>
          <w:rFonts w:asciiTheme="majorHAnsi" w:hAnsiTheme="majorHAnsi" w:cs="Calibri"/>
        </w:rPr>
        <w:t xml:space="preserve">ompany </w:t>
      </w:r>
      <w:r>
        <w:rPr>
          <w:rFonts w:asciiTheme="majorHAnsi" w:hAnsiTheme="majorHAnsi" w:cs="Calibri"/>
        </w:rPr>
        <w:t xml:space="preserve">or individual </w:t>
      </w:r>
      <w:r w:rsidR="003A6C88" w:rsidRPr="006E23F6">
        <w:rPr>
          <w:rFonts w:asciiTheme="majorHAnsi" w:hAnsiTheme="majorHAnsi" w:cs="Calibri"/>
        </w:rPr>
        <w:t xml:space="preserve">name, </w:t>
      </w:r>
      <w:r w:rsidR="00F7443F">
        <w:rPr>
          <w:rFonts w:asciiTheme="majorHAnsi" w:hAnsiTheme="majorHAnsi" w:cs="Calibri"/>
        </w:rPr>
        <w:t>*</w:t>
      </w:r>
      <w:r w:rsidR="003A6C88" w:rsidRPr="006E23F6">
        <w:rPr>
          <w:rFonts w:asciiTheme="majorHAnsi" w:hAnsiTheme="majorHAnsi" w:cs="Calibri"/>
        </w:rPr>
        <w:t xml:space="preserve">Tax ID, </w:t>
      </w:r>
      <w:r w:rsidR="00F7443F">
        <w:rPr>
          <w:rFonts w:asciiTheme="majorHAnsi" w:hAnsiTheme="majorHAnsi" w:cs="Calibri"/>
        </w:rPr>
        <w:t>*</w:t>
      </w:r>
      <w:r w:rsidR="003A6C88" w:rsidRPr="006E23F6">
        <w:rPr>
          <w:rFonts w:asciiTheme="majorHAnsi" w:hAnsiTheme="majorHAnsi" w:cs="Calibri"/>
        </w:rPr>
        <w:t xml:space="preserve">SSN, address, telephone number, preferred email contact, bank details (optional). </w:t>
      </w:r>
    </w:p>
    <w:p w:rsidR="00F7443F" w:rsidRDefault="00F7443F" w:rsidP="00132AB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*Only applicable for US-based candidates</w:t>
      </w:r>
    </w:p>
    <w:p w:rsidR="009D64E4" w:rsidRDefault="003A6C88" w:rsidP="00132AB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A0B37">
        <w:rPr>
          <w:rFonts w:asciiTheme="majorHAnsi" w:hAnsiTheme="majorHAnsi" w:cs="Calibri"/>
        </w:rPr>
        <w:t xml:space="preserve">The commercial proposal must be sent </w:t>
      </w:r>
      <w:r w:rsidR="006E23F6" w:rsidRPr="001B4D74">
        <w:rPr>
          <w:rFonts w:asciiTheme="majorHAnsi" w:hAnsiTheme="majorHAnsi" w:cs="Calibri"/>
          <w:b/>
          <w:u w:val="single"/>
        </w:rPr>
        <w:t xml:space="preserve">no later than April </w:t>
      </w:r>
      <w:r w:rsidR="002E4F44">
        <w:rPr>
          <w:rFonts w:asciiTheme="majorHAnsi" w:hAnsiTheme="majorHAnsi" w:cs="Calibri"/>
          <w:b/>
          <w:u w:val="single"/>
        </w:rPr>
        <w:t>24</w:t>
      </w:r>
      <w:r w:rsidR="006E23F6" w:rsidRPr="001B4D74">
        <w:rPr>
          <w:rFonts w:asciiTheme="majorHAnsi" w:hAnsiTheme="majorHAnsi" w:cs="Calibri"/>
          <w:b/>
          <w:u w:val="single"/>
        </w:rPr>
        <w:t>, 2015</w:t>
      </w:r>
      <w:r w:rsidR="006E23F6">
        <w:rPr>
          <w:rFonts w:asciiTheme="majorHAnsi" w:hAnsiTheme="majorHAnsi" w:cs="Calibri"/>
        </w:rPr>
        <w:t xml:space="preserve"> to </w:t>
      </w:r>
      <w:r w:rsidRPr="00AA0B37">
        <w:rPr>
          <w:rFonts w:asciiTheme="majorHAnsi" w:hAnsiTheme="majorHAnsi" w:cs="Calibri"/>
        </w:rPr>
        <w:t>Marcia Co</w:t>
      </w:r>
      <w:r w:rsidR="002E4F44">
        <w:rPr>
          <w:rFonts w:asciiTheme="majorHAnsi" w:hAnsiTheme="majorHAnsi" w:cs="Calibri"/>
        </w:rPr>
        <w:t>sta</w:t>
      </w:r>
      <w:r w:rsidRPr="00AA0B37">
        <w:rPr>
          <w:rFonts w:asciiTheme="majorHAnsi" w:hAnsiTheme="majorHAnsi" w:cs="Calibri"/>
        </w:rPr>
        <w:t xml:space="preserve">, email </w:t>
      </w:r>
      <w:r w:rsidRPr="00AA0B37">
        <w:rPr>
          <w:rFonts w:asciiTheme="majorHAnsi" w:hAnsiTheme="majorHAnsi" w:cs="Calibri"/>
          <w:color w:val="0000FF"/>
        </w:rPr>
        <w:t>marcia.costa@tnc.org</w:t>
      </w:r>
      <w:r w:rsidRPr="00AA0B37">
        <w:rPr>
          <w:rFonts w:asciiTheme="majorHAnsi" w:hAnsiTheme="majorHAnsi" w:cs="Calibri"/>
        </w:rPr>
        <w:t xml:space="preserve">. </w:t>
      </w:r>
    </w:p>
    <w:sectPr w:rsidR="009D64E4" w:rsidSect="00F817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40C"/>
    <w:multiLevelType w:val="hybridMultilevel"/>
    <w:tmpl w:val="FAD8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50F8"/>
    <w:multiLevelType w:val="hybridMultilevel"/>
    <w:tmpl w:val="AEB6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819"/>
    <w:multiLevelType w:val="hybridMultilevel"/>
    <w:tmpl w:val="CF86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3D96"/>
    <w:multiLevelType w:val="hybridMultilevel"/>
    <w:tmpl w:val="F7DC4F0A"/>
    <w:lvl w:ilvl="0" w:tplc="6026FFB8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191C"/>
    <w:multiLevelType w:val="hybridMultilevel"/>
    <w:tmpl w:val="DACEC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F10A6"/>
    <w:multiLevelType w:val="hybridMultilevel"/>
    <w:tmpl w:val="E70AE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831A9"/>
    <w:multiLevelType w:val="hybridMultilevel"/>
    <w:tmpl w:val="164E1A8C"/>
    <w:lvl w:ilvl="0" w:tplc="0982184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8"/>
    <w:rsid w:val="0004782B"/>
    <w:rsid w:val="00077050"/>
    <w:rsid w:val="000C20EB"/>
    <w:rsid w:val="000C7171"/>
    <w:rsid w:val="000D7051"/>
    <w:rsid w:val="000E51E6"/>
    <w:rsid w:val="000E6E10"/>
    <w:rsid w:val="00132AB5"/>
    <w:rsid w:val="001425E8"/>
    <w:rsid w:val="0016174A"/>
    <w:rsid w:val="001B4D74"/>
    <w:rsid w:val="001F067B"/>
    <w:rsid w:val="002560B0"/>
    <w:rsid w:val="002A7ED3"/>
    <w:rsid w:val="002C32C8"/>
    <w:rsid w:val="002D495C"/>
    <w:rsid w:val="002D6CB1"/>
    <w:rsid w:val="002D765B"/>
    <w:rsid w:val="002E4F44"/>
    <w:rsid w:val="00330257"/>
    <w:rsid w:val="00374BCA"/>
    <w:rsid w:val="00383595"/>
    <w:rsid w:val="003A6C88"/>
    <w:rsid w:val="003B15ED"/>
    <w:rsid w:val="003C610F"/>
    <w:rsid w:val="003F6DD5"/>
    <w:rsid w:val="00414614"/>
    <w:rsid w:val="00471C08"/>
    <w:rsid w:val="004E2EA3"/>
    <w:rsid w:val="00512B0F"/>
    <w:rsid w:val="005258AB"/>
    <w:rsid w:val="005A4F75"/>
    <w:rsid w:val="005B73D8"/>
    <w:rsid w:val="005C32F9"/>
    <w:rsid w:val="005D3C4D"/>
    <w:rsid w:val="005F3D3A"/>
    <w:rsid w:val="00607D95"/>
    <w:rsid w:val="006127EA"/>
    <w:rsid w:val="006577B0"/>
    <w:rsid w:val="006674CA"/>
    <w:rsid w:val="00674320"/>
    <w:rsid w:val="006A3B5D"/>
    <w:rsid w:val="006B61DB"/>
    <w:rsid w:val="006B69DA"/>
    <w:rsid w:val="006C4404"/>
    <w:rsid w:val="006D1D8C"/>
    <w:rsid w:val="006E23F6"/>
    <w:rsid w:val="006E35EA"/>
    <w:rsid w:val="00704F43"/>
    <w:rsid w:val="00712F95"/>
    <w:rsid w:val="00750723"/>
    <w:rsid w:val="007575DD"/>
    <w:rsid w:val="00774EFE"/>
    <w:rsid w:val="0078066A"/>
    <w:rsid w:val="00785A95"/>
    <w:rsid w:val="00795E86"/>
    <w:rsid w:val="007A0C9A"/>
    <w:rsid w:val="007D5033"/>
    <w:rsid w:val="007E2139"/>
    <w:rsid w:val="008161F9"/>
    <w:rsid w:val="00830A8D"/>
    <w:rsid w:val="00841DEF"/>
    <w:rsid w:val="00850B03"/>
    <w:rsid w:val="008C0D67"/>
    <w:rsid w:val="008F0100"/>
    <w:rsid w:val="009005C1"/>
    <w:rsid w:val="00913A56"/>
    <w:rsid w:val="00924FFD"/>
    <w:rsid w:val="00954670"/>
    <w:rsid w:val="0099026C"/>
    <w:rsid w:val="00991D24"/>
    <w:rsid w:val="0099456D"/>
    <w:rsid w:val="009B6109"/>
    <w:rsid w:val="009C4551"/>
    <w:rsid w:val="009D64E4"/>
    <w:rsid w:val="00A24E1E"/>
    <w:rsid w:val="00A622E4"/>
    <w:rsid w:val="00A944B7"/>
    <w:rsid w:val="00AA0B37"/>
    <w:rsid w:val="00AB11FD"/>
    <w:rsid w:val="00AC1447"/>
    <w:rsid w:val="00AD022D"/>
    <w:rsid w:val="00AE22E3"/>
    <w:rsid w:val="00B141E0"/>
    <w:rsid w:val="00B914AA"/>
    <w:rsid w:val="00B91FC8"/>
    <w:rsid w:val="00BC7191"/>
    <w:rsid w:val="00BF5F49"/>
    <w:rsid w:val="00C1381F"/>
    <w:rsid w:val="00C36A7C"/>
    <w:rsid w:val="00C75072"/>
    <w:rsid w:val="00C75217"/>
    <w:rsid w:val="00CA57D3"/>
    <w:rsid w:val="00CB40B6"/>
    <w:rsid w:val="00CD41AF"/>
    <w:rsid w:val="00CD7901"/>
    <w:rsid w:val="00CF781F"/>
    <w:rsid w:val="00CF78E1"/>
    <w:rsid w:val="00D43EFF"/>
    <w:rsid w:val="00D53D23"/>
    <w:rsid w:val="00D61E90"/>
    <w:rsid w:val="00D64F1B"/>
    <w:rsid w:val="00D8463E"/>
    <w:rsid w:val="00DC6B58"/>
    <w:rsid w:val="00DF6424"/>
    <w:rsid w:val="00E45CC9"/>
    <w:rsid w:val="00E555F5"/>
    <w:rsid w:val="00F0380E"/>
    <w:rsid w:val="00F063E4"/>
    <w:rsid w:val="00F358EF"/>
    <w:rsid w:val="00F61E25"/>
    <w:rsid w:val="00F73307"/>
    <w:rsid w:val="00F7443F"/>
    <w:rsid w:val="00F7654D"/>
    <w:rsid w:val="00F7734A"/>
    <w:rsid w:val="00F8171E"/>
    <w:rsid w:val="00F8555B"/>
    <w:rsid w:val="00F976C1"/>
    <w:rsid w:val="00FB0CCD"/>
    <w:rsid w:val="00FD1602"/>
    <w:rsid w:val="00FD208C"/>
    <w:rsid w:val="00FF08C3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8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6C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B6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2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8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6C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B6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2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B6EC-9B4B-4FD3-9FE8-C874DBAC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TNC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Leisher</dc:creator>
  <cp:lastModifiedBy>Nicole DeMello</cp:lastModifiedBy>
  <cp:revision>2</cp:revision>
  <dcterms:created xsi:type="dcterms:W3CDTF">2015-04-15T14:48:00Z</dcterms:created>
  <dcterms:modified xsi:type="dcterms:W3CDTF">2015-04-15T14:48:00Z</dcterms:modified>
</cp:coreProperties>
</file>